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942" w:rsidRDefault="007066F9" w:rsidP="009D3E49">
      <w:pPr>
        <w:pStyle w:val="Title"/>
      </w:pPr>
      <w:r w:rsidRPr="008B6E44">
        <w:t>Federale Financiering Lokale Politie</w:t>
      </w:r>
    </w:p>
    <w:p w:rsidR="009D3E49" w:rsidRPr="009D3E49" w:rsidRDefault="009D3E49" w:rsidP="009D3E49">
      <w:pPr>
        <w:pStyle w:val="Heading1"/>
      </w:pPr>
      <w:r>
        <w:t>Overzicht</w:t>
      </w:r>
    </w:p>
    <w:p w:rsidR="007066F9" w:rsidRPr="009D3E49" w:rsidRDefault="007066F9">
      <w:pPr>
        <w:rPr>
          <w:rStyle w:val="Emphasis"/>
          <w:sz w:val="18"/>
          <w:szCs w:val="18"/>
        </w:rPr>
      </w:pPr>
      <w:r w:rsidRPr="009D3E49">
        <w:rPr>
          <w:rStyle w:val="Emphasis"/>
          <w:sz w:val="18"/>
          <w:szCs w:val="18"/>
        </w:rPr>
        <w:t>De financiering van de lokale politie verloopt op twee niveaus: het gemeentelijke en het federale niveau. De gemeentelijke dotaties zijn v</w:t>
      </w:r>
      <w:r w:rsidR="008B6E44" w:rsidRPr="009D3E49">
        <w:rPr>
          <w:rStyle w:val="Emphasis"/>
          <w:sz w:val="18"/>
          <w:szCs w:val="18"/>
        </w:rPr>
        <w:t>erantwoordelijk voor ongeveer 64</w:t>
      </w:r>
      <w:r w:rsidRPr="009D3E49">
        <w:rPr>
          <w:rStyle w:val="Emphasis"/>
          <w:sz w:val="18"/>
          <w:szCs w:val="18"/>
        </w:rPr>
        <w:t xml:space="preserve">% van de </w:t>
      </w:r>
      <w:r w:rsidR="008B6E44" w:rsidRPr="009D3E49">
        <w:rPr>
          <w:rStyle w:val="Emphasis"/>
          <w:sz w:val="18"/>
          <w:szCs w:val="18"/>
        </w:rPr>
        <w:t>totale financiering de andere 36</w:t>
      </w:r>
      <w:r w:rsidRPr="009D3E49">
        <w:rPr>
          <w:rStyle w:val="Emphasis"/>
          <w:sz w:val="18"/>
          <w:szCs w:val="18"/>
        </w:rPr>
        <w:t>% valt onder de</w:t>
      </w:r>
      <w:r w:rsidR="00BA5998" w:rsidRPr="009D3E49">
        <w:rPr>
          <w:rStyle w:val="Emphasis"/>
          <w:sz w:val="18"/>
          <w:szCs w:val="18"/>
        </w:rPr>
        <w:t xml:space="preserve"> verantwoordelijkheid van de</w:t>
      </w:r>
      <w:r w:rsidRPr="009D3E49">
        <w:rPr>
          <w:rStyle w:val="Emphasis"/>
          <w:sz w:val="18"/>
          <w:szCs w:val="18"/>
        </w:rPr>
        <w:t xml:space="preserve"> federale overheid. Deze federale financiering verloopt grotendeels via een aantal federale dotaties.</w:t>
      </w:r>
    </w:p>
    <w:p w:rsidR="008B6E44" w:rsidRPr="009D3E49" w:rsidRDefault="007066F9" w:rsidP="008B6E44">
      <w:pPr>
        <w:pStyle w:val="BodyText"/>
        <w:numPr>
          <w:ilvl w:val="0"/>
          <w:numId w:val="1"/>
        </w:numPr>
        <w:spacing w:after="240"/>
        <w:rPr>
          <w:rStyle w:val="Emphasis"/>
          <w:rFonts w:asciiTheme="minorHAnsi" w:hAnsiTheme="minorHAnsi"/>
          <w:szCs w:val="18"/>
        </w:rPr>
      </w:pPr>
      <w:r w:rsidRPr="009D3E49">
        <w:rPr>
          <w:rStyle w:val="Emphasis"/>
          <w:rFonts w:asciiTheme="minorHAnsi" w:hAnsiTheme="minorHAnsi"/>
          <w:szCs w:val="18"/>
        </w:rPr>
        <w:t>Een federale basisdotatie</w:t>
      </w:r>
    </w:p>
    <w:p w:rsidR="007066F9" w:rsidRPr="009D3E49" w:rsidRDefault="007066F9" w:rsidP="00EC1D31">
      <w:pPr>
        <w:pStyle w:val="BodyText"/>
        <w:numPr>
          <w:ilvl w:val="0"/>
          <w:numId w:val="1"/>
        </w:numPr>
        <w:spacing w:after="240"/>
        <w:rPr>
          <w:rStyle w:val="Emphasis"/>
          <w:rFonts w:asciiTheme="minorHAnsi" w:hAnsiTheme="minorHAnsi"/>
          <w:szCs w:val="18"/>
        </w:rPr>
      </w:pPr>
      <w:r w:rsidRPr="009D3E49">
        <w:rPr>
          <w:rStyle w:val="Emphasis"/>
          <w:rFonts w:asciiTheme="minorHAnsi" w:hAnsiTheme="minorHAnsi"/>
          <w:szCs w:val="18"/>
        </w:rPr>
        <w:t>Een bijkomende basisdotatie</w:t>
      </w:r>
    </w:p>
    <w:p w:rsidR="007066F9" w:rsidRPr="009D3E49" w:rsidRDefault="007066F9" w:rsidP="007066F9">
      <w:pPr>
        <w:pStyle w:val="BodyText"/>
        <w:numPr>
          <w:ilvl w:val="0"/>
          <w:numId w:val="1"/>
        </w:numPr>
        <w:spacing w:after="240"/>
        <w:rPr>
          <w:rStyle w:val="Emphasis"/>
          <w:rFonts w:asciiTheme="minorHAnsi" w:hAnsiTheme="minorHAnsi"/>
          <w:szCs w:val="18"/>
        </w:rPr>
      </w:pPr>
      <w:r w:rsidRPr="009D3E49">
        <w:rPr>
          <w:rStyle w:val="Emphasis"/>
          <w:rFonts w:asciiTheme="minorHAnsi" w:hAnsiTheme="minorHAnsi"/>
          <w:szCs w:val="18"/>
        </w:rPr>
        <w:t xml:space="preserve">Een dotatie voor uitrusting handhaving openbare orde </w:t>
      </w:r>
    </w:p>
    <w:p w:rsidR="007066F9" w:rsidRPr="009D3E49" w:rsidRDefault="007066F9" w:rsidP="007066F9">
      <w:pPr>
        <w:pStyle w:val="BodyText"/>
        <w:numPr>
          <w:ilvl w:val="0"/>
          <w:numId w:val="1"/>
        </w:numPr>
        <w:spacing w:after="240"/>
        <w:rPr>
          <w:rStyle w:val="Emphasis"/>
          <w:rFonts w:asciiTheme="minorHAnsi" w:hAnsiTheme="minorHAnsi"/>
          <w:szCs w:val="18"/>
        </w:rPr>
      </w:pPr>
      <w:r w:rsidRPr="009D3E49">
        <w:rPr>
          <w:rStyle w:val="Emphasis"/>
          <w:rFonts w:asciiTheme="minorHAnsi" w:hAnsiTheme="minorHAnsi"/>
          <w:szCs w:val="18"/>
        </w:rPr>
        <w:t xml:space="preserve">Een dotatie ter ondersteuning van de kosten inherent aan de uitvoering van de wet Salduz </w:t>
      </w:r>
    </w:p>
    <w:p w:rsidR="007066F9" w:rsidRPr="009D3E49" w:rsidRDefault="00BA5998" w:rsidP="007066F9">
      <w:pPr>
        <w:pStyle w:val="BodyText"/>
        <w:numPr>
          <w:ilvl w:val="0"/>
          <w:numId w:val="1"/>
        </w:numPr>
        <w:spacing w:after="240"/>
        <w:rPr>
          <w:rStyle w:val="Emphasis"/>
          <w:rFonts w:asciiTheme="minorHAnsi" w:hAnsiTheme="minorHAnsi"/>
          <w:szCs w:val="18"/>
        </w:rPr>
      </w:pPr>
      <w:r w:rsidRPr="009D3E49">
        <w:rPr>
          <w:rStyle w:val="Emphasis"/>
          <w:rFonts w:asciiTheme="minorHAnsi" w:hAnsiTheme="minorHAnsi"/>
          <w:szCs w:val="18"/>
        </w:rPr>
        <w:t xml:space="preserve">Een </w:t>
      </w:r>
      <w:r w:rsidR="007066F9" w:rsidRPr="009D3E49">
        <w:rPr>
          <w:rStyle w:val="Emphasis"/>
          <w:rFonts w:asciiTheme="minorHAnsi" w:hAnsiTheme="minorHAnsi"/>
          <w:szCs w:val="18"/>
        </w:rPr>
        <w:t xml:space="preserve">dotatie inzake de kosten ten gevolge van de implementatie van het sectoraal akkoord van </w:t>
      </w:r>
      <w:r w:rsidRPr="009D3E49">
        <w:rPr>
          <w:rStyle w:val="Emphasis"/>
          <w:rFonts w:asciiTheme="minorHAnsi" w:hAnsiTheme="minorHAnsi"/>
          <w:szCs w:val="18"/>
        </w:rPr>
        <w:t>13 september 2018</w:t>
      </w:r>
    </w:p>
    <w:p w:rsidR="007066F9" w:rsidRPr="009D3E49" w:rsidRDefault="00BA5998" w:rsidP="007066F9">
      <w:pPr>
        <w:pStyle w:val="BodyText"/>
        <w:numPr>
          <w:ilvl w:val="0"/>
          <w:numId w:val="1"/>
        </w:numPr>
        <w:spacing w:after="240"/>
        <w:rPr>
          <w:rStyle w:val="Emphasis"/>
          <w:rFonts w:asciiTheme="minorHAnsi" w:hAnsiTheme="minorHAnsi"/>
          <w:szCs w:val="18"/>
        </w:rPr>
      </w:pPr>
      <w:r w:rsidRPr="009D3E49">
        <w:rPr>
          <w:rStyle w:val="Emphasis"/>
          <w:rFonts w:asciiTheme="minorHAnsi" w:hAnsiTheme="minorHAnsi"/>
          <w:szCs w:val="18"/>
        </w:rPr>
        <w:t xml:space="preserve">Een </w:t>
      </w:r>
      <w:r w:rsidR="007066F9" w:rsidRPr="009D3E49">
        <w:rPr>
          <w:rStyle w:val="Emphasis"/>
          <w:rFonts w:asciiTheme="minorHAnsi" w:hAnsiTheme="minorHAnsi"/>
          <w:szCs w:val="18"/>
        </w:rPr>
        <w:t xml:space="preserve">sociale toelage </w:t>
      </w:r>
      <w:r w:rsidRPr="009D3E49">
        <w:rPr>
          <w:rStyle w:val="Emphasis"/>
          <w:rFonts w:asciiTheme="minorHAnsi" w:hAnsiTheme="minorHAnsi"/>
          <w:szCs w:val="18"/>
        </w:rPr>
        <w:t xml:space="preserve">1 </w:t>
      </w:r>
    </w:p>
    <w:p w:rsidR="00BA5998" w:rsidRPr="009D3E49" w:rsidRDefault="00BA5998" w:rsidP="007066F9">
      <w:pPr>
        <w:pStyle w:val="BodyText"/>
        <w:numPr>
          <w:ilvl w:val="0"/>
          <w:numId w:val="1"/>
        </w:numPr>
        <w:spacing w:after="240"/>
        <w:rPr>
          <w:rStyle w:val="Emphasis"/>
          <w:rFonts w:asciiTheme="minorHAnsi" w:hAnsiTheme="minorHAnsi"/>
          <w:szCs w:val="18"/>
        </w:rPr>
      </w:pPr>
      <w:r w:rsidRPr="009D3E49">
        <w:rPr>
          <w:rStyle w:val="Emphasis"/>
          <w:rFonts w:asciiTheme="minorHAnsi" w:hAnsiTheme="minorHAnsi"/>
          <w:szCs w:val="18"/>
        </w:rPr>
        <w:t>Een sociale toelage 2</w:t>
      </w:r>
    </w:p>
    <w:p w:rsidR="00BA5998" w:rsidRPr="009D3E49" w:rsidRDefault="00BA5998" w:rsidP="00BA5998">
      <w:pPr>
        <w:pStyle w:val="BodyText"/>
        <w:numPr>
          <w:ilvl w:val="0"/>
          <w:numId w:val="1"/>
        </w:numPr>
        <w:spacing w:after="240"/>
        <w:rPr>
          <w:rStyle w:val="Emphasis"/>
          <w:rFonts w:asciiTheme="minorHAnsi" w:hAnsiTheme="minorHAnsi"/>
          <w:szCs w:val="18"/>
        </w:rPr>
      </w:pPr>
      <w:r w:rsidRPr="009D3E49">
        <w:rPr>
          <w:rStyle w:val="Emphasis"/>
          <w:rFonts w:asciiTheme="minorHAnsi" w:hAnsiTheme="minorHAnsi"/>
          <w:szCs w:val="18"/>
        </w:rPr>
        <w:t>Een bijkomende federale toelage: verkeersveiligheid</w:t>
      </w:r>
    </w:p>
    <w:p w:rsidR="00BA5998" w:rsidRPr="009D3E49" w:rsidRDefault="00BA5998" w:rsidP="00BA5998">
      <w:pPr>
        <w:pStyle w:val="BodyText"/>
        <w:numPr>
          <w:ilvl w:val="0"/>
          <w:numId w:val="1"/>
        </w:numPr>
        <w:spacing w:after="240"/>
        <w:rPr>
          <w:rStyle w:val="Emphasis"/>
          <w:rFonts w:asciiTheme="minorHAnsi" w:hAnsiTheme="minorHAnsi"/>
          <w:szCs w:val="18"/>
        </w:rPr>
      </w:pPr>
      <w:r w:rsidRPr="009D3E49">
        <w:rPr>
          <w:rStyle w:val="Emphasis"/>
          <w:rFonts w:asciiTheme="minorHAnsi" w:hAnsiTheme="minorHAnsi"/>
          <w:szCs w:val="18"/>
        </w:rPr>
        <w:t>Een federale dotatie ter stimulering van bepaalde initiatieven</w:t>
      </w:r>
    </w:p>
    <w:p w:rsidR="00BA5998" w:rsidRPr="009D3E49" w:rsidRDefault="00BA5998" w:rsidP="00BA5998">
      <w:pPr>
        <w:pStyle w:val="BodyText"/>
        <w:numPr>
          <w:ilvl w:val="0"/>
          <w:numId w:val="1"/>
        </w:numPr>
        <w:spacing w:after="240"/>
        <w:rPr>
          <w:rStyle w:val="Emphasis"/>
          <w:rFonts w:asciiTheme="minorHAnsi" w:hAnsiTheme="minorHAnsi"/>
          <w:szCs w:val="18"/>
        </w:rPr>
      </w:pPr>
      <w:r w:rsidRPr="009D3E49">
        <w:rPr>
          <w:rStyle w:val="Emphasis"/>
          <w:rFonts w:asciiTheme="minorHAnsi" w:hAnsiTheme="minorHAnsi"/>
          <w:szCs w:val="18"/>
        </w:rPr>
        <w:t xml:space="preserve">Federale toelage inzake federaal overgedragen huurovereenkomsten </w:t>
      </w:r>
    </w:p>
    <w:p w:rsidR="00BA5998" w:rsidRPr="009D3E49" w:rsidRDefault="00BA5998" w:rsidP="00BA5998">
      <w:pPr>
        <w:pStyle w:val="BodyText"/>
        <w:numPr>
          <w:ilvl w:val="0"/>
          <w:numId w:val="1"/>
        </w:numPr>
        <w:spacing w:after="240"/>
        <w:rPr>
          <w:rStyle w:val="Emphasis"/>
          <w:rFonts w:asciiTheme="minorHAnsi" w:hAnsiTheme="minorHAnsi"/>
          <w:szCs w:val="18"/>
        </w:rPr>
      </w:pPr>
      <w:r w:rsidRPr="009D3E49">
        <w:rPr>
          <w:rStyle w:val="Emphasis"/>
          <w:rFonts w:asciiTheme="minorHAnsi" w:hAnsiTheme="minorHAnsi"/>
          <w:szCs w:val="18"/>
        </w:rPr>
        <w:t>Subsidie NAVAP</w:t>
      </w:r>
    </w:p>
    <w:p w:rsidR="00BA5998" w:rsidRDefault="00BA5998" w:rsidP="00BA5998">
      <w:pPr>
        <w:pStyle w:val="BodyText"/>
        <w:spacing w:after="240"/>
        <w:rPr>
          <w:rStyle w:val="Emphasis"/>
          <w:rFonts w:asciiTheme="minorHAnsi" w:hAnsiTheme="minorHAnsi"/>
          <w:szCs w:val="18"/>
        </w:rPr>
      </w:pPr>
      <w:r w:rsidRPr="009D3E49">
        <w:rPr>
          <w:rStyle w:val="Emphasis"/>
          <w:rFonts w:asciiTheme="minorHAnsi" w:hAnsiTheme="minorHAnsi"/>
          <w:szCs w:val="18"/>
        </w:rPr>
        <w:t>De federale financiering is een complex gegeven gezien er nooit een alge</w:t>
      </w:r>
      <w:r w:rsidR="006C77B0" w:rsidRPr="009D3E49">
        <w:rPr>
          <w:rStyle w:val="Emphasis"/>
          <w:rFonts w:asciiTheme="minorHAnsi" w:hAnsiTheme="minorHAnsi"/>
          <w:szCs w:val="18"/>
        </w:rPr>
        <w:t>mene financieringswet is opgesteld</w:t>
      </w:r>
      <w:r w:rsidRPr="009D3E49">
        <w:rPr>
          <w:rStyle w:val="Emphasis"/>
          <w:rFonts w:asciiTheme="minorHAnsi" w:hAnsiTheme="minorHAnsi"/>
          <w:szCs w:val="18"/>
        </w:rPr>
        <w:t xml:space="preserve"> voor de geïntegreerde politie. Hierdoor moet bij iedere extra uitgave door de federale overheid een nieuwe wettelijk kader worden  gecreëerd dat dan ook leidt tot het ontstaan van een nieuwe dotatie. </w:t>
      </w:r>
    </w:p>
    <w:p w:rsidR="00BA3147" w:rsidRPr="009D3E49" w:rsidRDefault="00BA3147" w:rsidP="00BA5998">
      <w:pPr>
        <w:pStyle w:val="BodyText"/>
        <w:spacing w:after="240"/>
        <w:rPr>
          <w:rStyle w:val="Emphasis"/>
          <w:rFonts w:asciiTheme="minorHAnsi" w:hAnsiTheme="minorHAnsi"/>
          <w:szCs w:val="18"/>
        </w:rPr>
      </w:pPr>
    </w:p>
    <w:p w:rsidR="001862F9" w:rsidRDefault="001862F9" w:rsidP="009D3E49">
      <w:pPr>
        <w:pStyle w:val="Heading1"/>
      </w:pPr>
      <w:r>
        <w:t>De KUL Norm</w:t>
      </w:r>
    </w:p>
    <w:p w:rsidR="001862F9" w:rsidRPr="009D3E49" w:rsidRDefault="001862F9" w:rsidP="001862F9">
      <w:pPr>
        <w:rPr>
          <w:rStyle w:val="Emphasis"/>
          <w:sz w:val="18"/>
          <w:szCs w:val="18"/>
        </w:rPr>
      </w:pPr>
      <w:r w:rsidRPr="009D3E49">
        <w:rPr>
          <w:rStyle w:val="Emphasis"/>
          <w:sz w:val="18"/>
          <w:szCs w:val="18"/>
        </w:rPr>
        <w:t>Een groot deel van de federale dotaties worden verdeeld over de politiezones op basis van de KUL-norm. De KUL-norm is opgesteld in 1999 met als doel de theoretische politiecapaciteit per gemeente te bepalen (op basis van een regressieanalyse). Op basis van deze analyse werd getracht om, op basis van een aantal relevante indicatoren voor de betrokken gemeente in functie van haar behoeften en specificiteiten, de politiecapaciteit zo goed mogelijk te bepalen. In dit kader werden een 80-tal verklarende variabelen in aanmerking genomen om dan uiteindelijke stapsgewijs gereduceerd te worden naar 14 parameters , waaraan vervolgens specifieke variabelen werden toegevoegd voor de 5 grote steden van het land (Brussel, Antwerpen, Gent, Luik en Charleroi), teneinde rekening te houden met hun specificiteit die verband houdt met de omvang van deze steden en dus met de desbetreffende politierealiteit.</w:t>
      </w:r>
    </w:p>
    <w:p w:rsidR="001862F9" w:rsidRPr="009D3E49" w:rsidRDefault="001862F9" w:rsidP="001862F9">
      <w:pPr>
        <w:rPr>
          <w:rStyle w:val="Emphasis"/>
          <w:sz w:val="18"/>
          <w:szCs w:val="18"/>
        </w:rPr>
      </w:pPr>
      <w:r w:rsidRPr="009D3E49">
        <w:rPr>
          <w:rStyle w:val="Emphasis"/>
          <w:sz w:val="18"/>
          <w:szCs w:val="18"/>
        </w:rPr>
        <w:t xml:space="preserve">De 14 parameters zijn de volgende: </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Uitrustingsscore van een gemeente (verstedelijking) (medische, maatschappelijke en sociale zorg; sport, recreatie en horeca; verkeer; diensten met loketfunctie; overheidsfuncties; cultuur; onderwijs; detailhandelsfuncties)</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Totale bevolking van de gemeente</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Totale oppervlakte van de gemeente in km2</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Aantal inwoners van de gemeente &gt; 65 jaar / 1000 inwoners</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lastRenderedPageBreak/>
        <w:t>Aantal bestaansminimumtrekkers + aantal Uitkeringsgerechtigde volledig werkloze werkzoekende / 1000 inwoners</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Aantal tewerkgestelden in de horeca / 1000 inwoners</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Aantal overnachtingen / 1000 inwoners</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Aantal gepleegde criminele feiten / 1000 inwoners (het betreft hier alleen : inbraken in woningen, diefstal van of in auto's en geweld (extra familiaal))</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Aantal adresveranderingen binnen de gemeente + het aantal immigraties / 1000 inwoners</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Gevangeniscapaciteit / 1000 inwoners</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Aantal verkeersongevallen met doden en of gewonden (lichte en zware) / 1000 inwoners</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Kadastraal inkomen per ha bebouwde oppervlakte</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Aantal woningen met klein comfort / totaal aantal woningen</w:t>
      </w:r>
    </w:p>
    <w:p w:rsidR="001862F9" w:rsidRPr="009D3E49" w:rsidRDefault="001862F9" w:rsidP="001862F9">
      <w:pPr>
        <w:numPr>
          <w:ilvl w:val="0"/>
          <w:numId w:val="3"/>
        </w:numPr>
        <w:spacing w:after="0" w:line="230" w:lineRule="atLeast"/>
        <w:jc w:val="both"/>
        <w:rPr>
          <w:rStyle w:val="Emphasis"/>
          <w:sz w:val="18"/>
          <w:szCs w:val="18"/>
        </w:rPr>
      </w:pPr>
      <w:r w:rsidRPr="009D3E49">
        <w:rPr>
          <w:rStyle w:val="Emphasis"/>
          <w:sz w:val="18"/>
          <w:szCs w:val="18"/>
        </w:rPr>
        <w:t>Gemiddeld netto-belastbaar inkomen per inwoner</w:t>
      </w:r>
    </w:p>
    <w:p w:rsidR="001862F9" w:rsidRPr="009D3E49" w:rsidRDefault="001862F9" w:rsidP="001862F9">
      <w:pPr>
        <w:rPr>
          <w:rStyle w:val="Emphasis"/>
          <w:sz w:val="18"/>
          <w:szCs w:val="18"/>
        </w:rPr>
      </w:pPr>
    </w:p>
    <w:p w:rsidR="001862F9" w:rsidRPr="009D3E49" w:rsidRDefault="001862F9" w:rsidP="001862F9">
      <w:pPr>
        <w:rPr>
          <w:rStyle w:val="Emphasis"/>
          <w:sz w:val="18"/>
          <w:szCs w:val="18"/>
        </w:rPr>
      </w:pPr>
      <w:r w:rsidRPr="009D3E49">
        <w:rPr>
          <w:rStyle w:val="Emphasis"/>
          <w:sz w:val="18"/>
          <w:szCs w:val="18"/>
        </w:rPr>
        <w:t xml:space="preserve">In 2001 werd beslist om deze verdeelsleutel ook te gebruiken voor de verdeling van de federale dotatie aan de lokale politie.  De objectieve, wetenschappelijke norm (voor de theoretische politiecapaciteit) bood immers de kans om objectief te verantwoorden politieopdrachten in overweging te nemen en op die manier een gelijke behandeling te herstellen voor het geheel van de politiezones. </w:t>
      </w:r>
    </w:p>
    <w:p w:rsidR="001862F9" w:rsidRPr="009D3E49" w:rsidRDefault="001862F9" w:rsidP="001862F9">
      <w:pPr>
        <w:rPr>
          <w:rStyle w:val="Emphasis"/>
          <w:sz w:val="18"/>
          <w:szCs w:val="18"/>
        </w:rPr>
      </w:pPr>
      <w:r w:rsidRPr="009D3E49">
        <w:rPr>
          <w:rStyle w:val="Emphasis"/>
          <w:sz w:val="18"/>
          <w:szCs w:val="18"/>
        </w:rPr>
        <w:t>De wettelijke basis voor de federale financiering van de lokale politie is nog steeds bepaald in de artikelen 41 en 41bis van de WGP (uitzondering hierop zijn de sociale toelagen die hun basis vinden in de wet van 6 mei 2002 tot oprichting van het Fonds voor de pensioenen van de geïntegreerde politie en houdende bijzondere bepalingen inzake sociale zekerheid). De Koning bepaalt jaarlijks de dotaties die worden toegekend aan de politiezones.</w:t>
      </w:r>
    </w:p>
    <w:p w:rsidR="001862F9" w:rsidRPr="009D3E49" w:rsidRDefault="002A0314" w:rsidP="001862F9">
      <w:pPr>
        <w:rPr>
          <w:rStyle w:val="Emphasis"/>
          <w:sz w:val="18"/>
          <w:szCs w:val="18"/>
        </w:rPr>
      </w:pPr>
      <w:r>
        <w:rPr>
          <w:rStyle w:val="Emphasis"/>
          <w:sz w:val="18"/>
          <w:szCs w:val="18"/>
        </w:rPr>
        <w:t>De KUL-norm vormt anno 2023</w:t>
      </w:r>
      <w:r w:rsidR="001862F9" w:rsidRPr="009D3E49">
        <w:rPr>
          <w:rStyle w:val="Emphasis"/>
          <w:sz w:val="18"/>
          <w:szCs w:val="18"/>
        </w:rPr>
        <w:t xml:space="preserve"> nog steeds de voornaamste verdeelsleutel van het geheel van deze financiering, doch niet de enige. Een ruwe schatting toont dat de KUL-norm de verdeelsleutel is voor ca. 70% van het totaalbedrag van deze dotaties/toelagen. Ook al is het niet de enige verdeelsleutel, is de KUL-norm wel de meest bepalend voor het aandeel dat de politiezones ontvangen.</w:t>
      </w:r>
    </w:p>
    <w:p w:rsidR="001862F9" w:rsidRPr="009D3E49" w:rsidRDefault="001862F9" w:rsidP="00BA5998">
      <w:pPr>
        <w:pStyle w:val="BodyText"/>
        <w:spacing w:after="240"/>
        <w:rPr>
          <w:rStyle w:val="Emphasis"/>
          <w:szCs w:val="18"/>
        </w:rPr>
      </w:pPr>
    </w:p>
    <w:p w:rsidR="001862F9" w:rsidRPr="00931342" w:rsidRDefault="001862F9" w:rsidP="009D3E49">
      <w:pPr>
        <w:pStyle w:val="Heading1"/>
        <w:rPr>
          <w:lang w:val="nl-NL"/>
        </w:rPr>
      </w:pPr>
      <w:r>
        <w:rPr>
          <w:lang w:val="nl-NL"/>
        </w:rPr>
        <w:t>De Federale Basisdotatie</w:t>
      </w:r>
    </w:p>
    <w:p w:rsidR="001862F9" w:rsidRPr="009D3E49" w:rsidRDefault="001862F9" w:rsidP="001862F9">
      <w:pPr>
        <w:numPr>
          <w:ilvl w:val="1"/>
          <w:numId w:val="2"/>
        </w:numPr>
        <w:tabs>
          <w:tab w:val="num" w:pos="284"/>
        </w:tabs>
        <w:spacing w:after="0" w:line="240" w:lineRule="exact"/>
        <w:ind w:left="284" w:hanging="284"/>
        <w:jc w:val="both"/>
        <w:rPr>
          <w:rStyle w:val="Emphasis"/>
          <w:sz w:val="18"/>
          <w:szCs w:val="18"/>
        </w:rPr>
      </w:pPr>
      <w:r w:rsidRPr="009D3E49">
        <w:rPr>
          <w:rStyle w:val="Emphasis"/>
          <w:sz w:val="18"/>
          <w:szCs w:val="18"/>
        </w:rPr>
        <w:t>De basisdotatie in strikte zin komt overeen met de toepassing van de KUL-norm eigen aan elk van de politiezones en de matiging van het effect van deze toepassing door het (supra- en interzonale) solidariteitsmechanisme.</w:t>
      </w:r>
    </w:p>
    <w:p w:rsidR="001862F9" w:rsidRPr="009D3E49" w:rsidRDefault="001862F9" w:rsidP="001862F9">
      <w:pPr>
        <w:spacing w:after="0" w:line="240" w:lineRule="exact"/>
        <w:ind w:left="284"/>
        <w:rPr>
          <w:rStyle w:val="Emphasis"/>
          <w:sz w:val="18"/>
          <w:szCs w:val="18"/>
        </w:rPr>
      </w:pPr>
    </w:p>
    <w:p w:rsidR="001862F9" w:rsidRPr="009D3E49" w:rsidRDefault="001862F9" w:rsidP="001862F9">
      <w:pPr>
        <w:spacing w:after="0" w:line="240" w:lineRule="exact"/>
        <w:ind w:left="284"/>
        <w:rPr>
          <w:rStyle w:val="Emphasis"/>
          <w:sz w:val="18"/>
          <w:szCs w:val="18"/>
        </w:rPr>
      </w:pPr>
      <w:r w:rsidRPr="009D3E49">
        <w:rPr>
          <w:rStyle w:val="Emphasis"/>
          <w:sz w:val="18"/>
          <w:szCs w:val="18"/>
        </w:rPr>
        <w:t xml:space="preserve">Het bedrag voor jaar N wordt verkregen door het bedrag van de federale basisdotatie van 2002, geactualiseerd op basis van de gezondheidsindex van december N-2 (basis 1996), te vermenigvuldigen met de evolutiecoëfficiënt van de gezondheidsindex </w:t>
      </w:r>
      <w:r w:rsidR="0031253E" w:rsidRPr="009D3E49">
        <w:rPr>
          <w:rStyle w:val="Emphasis"/>
          <w:sz w:val="18"/>
          <w:szCs w:val="18"/>
        </w:rPr>
        <w:t>voor de evolutie van N-2 tot N-1 , en van N-1 tot N.</w:t>
      </w:r>
    </w:p>
    <w:p w:rsidR="001862F9" w:rsidRPr="009D3E49" w:rsidRDefault="001862F9" w:rsidP="0031253E">
      <w:pPr>
        <w:spacing w:line="240" w:lineRule="auto"/>
        <w:rPr>
          <w:rStyle w:val="Emphasis"/>
          <w:sz w:val="18"/>
          <w:szCs w:val="18"/>
        </w:rPr>
      </w:pPr>
    </w:p>
    <w:p w:rsidR="0031253E" w:rsidRPr="009D3E49" w:rsidRDefault="001862F9" w:rsidP="0031253E">
      <w:pPr>
        <w:numPr>
          <w:ilvl w:val="1"/>
          <w:numId w:val="2"/>
        </w:numPr>
        <w:tabs>
          <w:tab w:val="num" w:pos="284"/>
        </w:tabs>
        <w:spacing w:after="0" w:line="240" w:lineRule="exact"/>
        <w:ind w:left="284" w:hanging="284"/>
        <w:jc w:val="both"/>
        <w:rPr>
          <w:rStyle w:val="Emphasis"/>
          <w:sz w:val="18"/>
          <w:szCs w:val="18"/>
        </w:rPr>
      </w:pPr>
      <w:r w:rsidRPr="009D3E49">
        <w:rPr>
          <w:rStyle w:val="Emphasis"/>
          <w:sz w:val="18"/>
          <w:szCs w:val="18"/>
        </w:rPr>
        <w:t xml:space="preserve">Het geleidelijk herstel van de solidariteit aan de politiezones die een positief saldo vertoonden in toepassing van de forfaitaire financiering gebaseerd op de KUL-norm. </w:t>
      </w:r>
    </w:p>
    <w:p w:rsidR="0031253E" w:rsidRPr="009D3E49" w:rsidRDefault="0031253E" w:rsidP="0031253E">
      <w:pPr>
        <w:spacing w:after="0" w:line="240" w:lineRule="exact"/>
        <w:ind w:left="284"/>
        <w:jc w:val="both"/>
        <w:rPr>
          <w:rStyle w:val="Emphasis"/>
          <w:sz w:val="18"/>
          <w:szCs w:val="18"/>
        </w:rPr>
      </w:pPr>
    </w:p>
    <w:p w:rsidR="0031253E" w:rsidRPr="009D3E49" w:rsidRDefault="0031253E" w:rsidP="0031253E">
      <w:pPr>
        <w:spacing w:after="0" w:line="240" w:lineRule="exact"/>
        <w:ind w:left="284"/>
        <w:jc w:val="both"/>
        <w:rPr>
          <w:rStyle w:val="Emphasis"/>
          <w:sz w:val="18"/>
          <w:szCs w:val="18"/>
        </w:rPr>
      </w:pPr>
      <w:r w:rsidRPr="009D3E49">
        <w:rPr>
          <w:rStyle w:val="Emphasis"/>
          <w:sz w:val="18"/>
          <w:szCs w:val="18"/>
        </w:rPr>
        <w:t xml:space="preserve">Het solidariteitsmechanisme werd in 2002 opgestart om de zones met een problematische financiële situatie te helpen. Kort samengevat bestaan binnen dit mechanisme twee groepen van politiezones, zijnde de begunstigde zones en de solidariteitsverstrekkende zones. De begunstigde zones waren de zones met een problematische financiële situatie en kregen extra financiering, voor een totaalbedrag van 46.109.528,51 EUR (niet geïndexeerd). Deze extra financiering bestaat uit 21.512.166,05 EUR (niet geïndexeerd) gefinancierd door de federale overheid (suprazonale solidariteit) en uit 24.597.362,46 EUR (niet geïndexeerd) afkomstig van de zones die voldoende financiële draagkracht hadden (interzonale solidariteit).  </w:t>
      </w:r>
    </w:p>
    <w:p w:rsidR="0031253E" w:rsidRPr="009D3E49" w:rsidRDefault="0031253E" w:rsidP="0031253E">
      <w:pPr>
        <w:spacing w:after="0" w:line="240" w:lineRule="exact"/>
        <w:ind w:left="284"/>
        <w:jc w:val="both"/>
        <w:rPr>
          <w:rStyle w:val="Emphasis"/>
          <w:sz w:val="18"/>
          <w:szCs w:val="18"/>
        </w:rPr>
      </w:pPr>
      <w:r w:rsidRPr="009D3E49">
        <w:rPr>
          <w:rStyle w:val="Emphasis"/>
          <w:sz w:val="18"/>
          <w:szCs w:val="18"/>
        </w:rPr>
        <w:t>Zo werd in 2002 een deel van het positief saldo dat bepaalde politiezones vertoonden door de toepassing van de KUL-norm, afgehouden om het te herverdelen onder bepaalde politiezones die een tekort vertoonden op basis van dezelfde toepassing. Een bedrag van 24.597.362,46 EUR (waarde 2002) werd dus afgehouden en herverdeeld. Tegelijkertijd werd overeengekomen dat dit bedrag zou worden terugbetaald in cumulatieve jaarlijkse schijven van 1/12de (2.049.780,20 EUR tegen de waarde 2002), zodat zij het bedrag na afloop van een periode van 12 jaar volledig zouden recupereren. De politiezones die van deze solidariteit genieten, zouden – volgens een systeem van communicerende vaten - de als interzonale solidariteit geïnde bedragen jaarlijks zien slinken met 1/12de (te cumuleren).</w:t>
      </w:r>
    </w:p>
    <w:p w:rsidR="0031253E" w:rsidRPr="009D3E49" w:rsidRDefault="0031253E" w:rsidP="0031253E">
      <w:pPr>
        <w:spacing w:after="0" w:line="240" w:lineRule="exact"/>
        <w:ind w:left="284"/>
        <w:jc w:val="both"/>
        <w:rPr>
          <w:rStyle w:val="Emphasis"/>
          <w:sz w:val="18"/>
          <w:szCs w:val="18"/>
        </w:rPr>
      </w:pPr>
    </w:p>
    <w:p w:rsidR="0031253E" w:rsidRPr="009D3E49" w:rsidRDefault="0031253E" w:rsidP="0031253E">
      <w:pPr>
        <w:spacing w:after="0" w:line="240" w:lineRule="exact"/>
        <w:ind w:left="284"/>
        <w:jc w:val="both"/>
        <w:rPr>
          <w:rStyle w:val="Emphasis"/>
          <w:sz w:val="18"/>
          <w:szCs w:val="18"/>
        </w:rPr>
      </w:pPr>
      <w:r w:rsidRPr="009D3E49">
        <w:rPr>
          <w:rStyle w:val="Emphasis"/>
          <w:sz w:val="18"/>
          <w:szCs w:val="18"/>
        </w:rPr>
        <w:t>Het mechanisme van geleidelijk herstel is nooit volledig uitgevoerd en is blijven steken op</w:t>
      </w:r>
      <w:r w:rsidR="009D3E49">
        <w:rPr>
          <w:rStyle w:val="Emphasis"/>
          <w:sz w:val="18"/>
          <w:szCs w:val="18"/>
        </w:rPr>
        <w:t xml:space="preserve"> 5/12 sinds 2018.</w:t>
      </w:r>
    </w:p>
    <w:p w:rsidR="001862F9" w:rsidRPr="009D3E49" w:rsidRDefault="001862F9" w:rsidP="001862F9">
      <w:pPr>
        <w:spacing w:after="0" w:line="240" w:lineRule="exact"/>
        <w:ind w:left="284"/>
        <w:rPr>
          <w:rStyle w:val="Emphasis"/>
          <w:sz w:val="18"/>
          <w:szCs w:val="18"/>
        </w:rPr>
      </w:pPr>
    </w:p>
    <w:p w:rsidR="001862F9" w:rsidRPr="009D3E49" w:rsidRDefault="001862F9" w:rsidP="001862F9">
      <w:pPr>
        <w:spacing w:before="240" w:after="0" w:line="240" w:lineRule="exact"/>
        <w:ind w:left="284"/>
        <w:rPr>
          <w:rStyle w:val="Emphasis"/>
          <w:sz w:val="18"/>
          <w:szCs w:val="18"/>
        </w:rPr>
      </w:pPr>
    </w:p>
    <w:p w:rsidR="001862F9" w:rsidRPr="009D3E49" w:rsidRDefault="001862F9" w:rsidP="001862F9">
      <w:pPr>
        <w:spacing w:after="0" w:line="240" w:lineRule="exact"/>
        <w:rPr>
          <w:rStyle w:val="Emphasis"/>
          <w:sz w:val="18"/>
          <w:szCs w:val="18"/>
        </w:rPr>
      </w:pPr>
    </w:p>
    <w:p w:rsidR="001862F9" w:rsidRPr="009D3E49" w:rsidRDefault="001862F9" w:rsidP="001862F9">
      <w:pPr>
        <w:numPr>
          <w:ilvl w:val="1"/>
          <w:numId w:val="2"/>
        </w:numPr>
        <w:tabs>
          <w:tab w:val="num" w:pos="284"/>
        </w:tabs>
        <w:spacing w:after="0" w:line="240" w:lineRule="exact"/>
        <w:ind w:left="284" w:hanging="284"/>
        <w:jc w:val="both"/>
        <w:rPr>
          <w:rStyle w:val="Emphasis"/>
          <w:sz w:val="18"/>
          <w:szCs w:val="18"/>
        </w:rPr>
      </w:pPr>
      <w:r w:rsidRPr="009D3E49">
        <w:rPr>
          <w:rStyle w:val="Emphasis"/>
          <w:sz w:val="18"/>
          <w:szCs w:val="18"/>
        </w:rPr>
        <w:t>De financiering van de “toelage Brussel” stemt overeen met de terugbetaling van de toelage Brussels Hoofdstedelijk Gewest, ingevoerd door RPPol ten behoeve van de Brusselse lokale politieagenten (op basis van de toen aanwezige personeelsleden in de Brusselse politiezones).</w:t>
      </w:r>
    </w:p>
    <w:p w:rsidR="001862F9" w:rsidRPr="009D3E49" w:rsidRDefault="001862F9" w:rsidP="001862F9">
      <w:pPr>
        <w:spacing w:after="0" w:line="140" w:lineRule="exact"/>
        <w:rPr>
          <w:rStyle w:val="Emphasis"/>
          <w:sz w:val="18"/>
          <w:szCs w:val="18"/>
        </w:rPr>
      </w:pPr>
    </w:p>
    <w:p w:rsidR="001862F9" w:rsidRPr="009D3E49" w:rsidRDefault="001862F9" w:rsidP="001862F9">
      <w:pPr>
        <w:spacing w:after="0" w:line="240" w:lineRule="exact"/>
        <w:ind w:left="284"/>
        <w:rPr>
          <w:rStyle w:val="Emphasis"/>
          <w:sz w:val="18"/>
          <w:szCs w:val="18"/>
        </w:rPr>
      </w:pPr>
      <w:r w:rsidRPr="009D3E49">
        <w:rPr>
          <w:rStyle w:val="Emphasis"/>
          <w:sz w:val="18"/>
          <w:szCs w:val="18"/>
        </w:rPr>
        <w:t xml:space="preserve">Deze toelage Brussels Hoofdstedelijk Gewest, enkel toegekend aan de Brusselse politiezones, werd voor de eerste keer toegekend in 2003 en volgt de in de RPPol ingeschreven logica voor de toekenning ervan, namelijk een jaarlijkse verhoging met 20% tot na 5 jaar een maximumbedrag wordt bereikt. Dit maximumbedrag komt overeen met een verdubbeling van de oorspronkelijke toelage. </w:t>
      </w:r>
    </w:p>
    <w:p w:rsidR="001862F9" w:rsidRPr="009D3E49" w:rsidRDefault="001862F9" w:rsidP="001862F9">
      <w:pPr>
        <w:spacing w:after="0" w:line="140" w:lineRule="exact"/>
        <w:rPr>
          <w:rStyle w:val="Emphasis"/>
          <w:sz w:val="18"/>
          <w:szCs w:val="18"/>
        </w:rPr>
      </w:pPr>
    </w:p>
    <w:p w:rsidR="001862F9" w:rsidRDefault="001862F9" w:rsidP="001862F9">
      <w:pPr>
        <w:spacing w:after="0" w:line="240" w:lineRule="exact"/>
        <w:ind w:left="284"/>
        <w:rPr>
          <w:rStyle w:val="Emphasis"/>
          <w:sz w:val="18"/>
          <w:szCs w:val="18"/>
        </w:rPr>
      </w:pPr>
      <w:r w:rsidRPr="009D3E49">
        <w:rPr>
          <w:rStyle w:val="Emphasis"/>
          <w:sz w:val="18"/>
          <w:szCs w:val="18"/>
        </w:rPr>
        <w:t>Het bedrag van de in 2003 oorspronkelijk toegekende toelage (vast wat betreft het voor de toekenning ervan in overweging te nemen personeelsbestand) heeft dus in 2008 zijn maximum bereikt en wordt sindsdien enkel aangepast op basis van een indexering die hier niet berust op de vooropgestelde evolutie van de gezondheidsindex, maar wel op die van de gemiddelde vereffeningscoëfficiënt voor het betrokken jaar (cfr. supra).</w:t>
      </w:r>
    </w:p>
    <w:p w:rsidR="009D3E49" w:rsidRDefault="009D3E49" w:rsidP="009D3E49">
      <w:pPr>
        <w:spacing w:after="0" w:line="240" w:lineRule="exact"/>
        <w:rPr>
          <w:rStyle w:val="Emphasis"/>
          <w:sz w:val="18"/>
          <w:szCs w:val="18"/>
        </w:rPr>
      </w:pPr>
    </w:p>
    <w:p w:rsidR="001862F9" w:rsidRPr="009D3E49" w:rsidRDefault="009D3E49" w:rsidP="009D3E49">
      <w:pPr>
        <w:pStyle w:val="Heading1"/>
      </w:pPr>
      <w:r w:rsidRPr="009D3E49">
        <w:t>De bijkomende federale dotatie</w:t>
      </w:r>
    </w:p>
    <w:p w:rsidR="001862F9" w:rsidRPr="00395A8A" w:rsidRDefault="001862F9" w:rsidP="001862F9">
      <w:pPr>
        <w:spacing w:after="0" w:line="240" w:lineRule="exact"/>
        <w:rPr>
          <w:rFonts w:ascii="Calibri" w:hAnsi="Calibri"/>
          <w:sz w:val="19"/>
          <w:szCs w:val="19"/>
        </w:rPr>
      </w:pPr>
    </w:p>
    <w:p w:rsidR="001862F9" w:rsidRPr="00350614" w:rsidRDefault="001862F9" w:rsidP="00350614">
      <w:pPr>
        <w:spacing w:after="0" w:line="240" w:lineRule="exact"/>
        <w:rPr>
          <w:rStyle w:val="Emphasis"/>
          <w:sz w:val="18"/>
          <w:szCs w:val="18"/>
        </w:rPr>
      </w:pPr>
      <w:r w:rsidRPr="00350614">
        <w:rPr>
          <w:rStyle w:val="Emphasis"/>
          <w:sz w:val="18"/>
          <w:szCs w:val="18"/>
        </w:rPr>
        <w:t>Het gaat hier om de dotatie die resulteerde uit de analyse van de "aanvaardbare meerkost", uitgevoerd in toepassing van artikel 7 van het koninklijk besluit van 2 augustus 2002 houdende de toekenning van de definitieve federale basistoelage, een toelage uitrusting handhaving openbare orde en een toelage veiligheids- en samenlevingscontracten, aan sommige politiezones en aan sommige gemeenten voor het jaar 2002, en tot wijziging van het koninklijk besluit van 24 december 2001 houdende de toekenning van een voorschot op de federale basistoelage voor het jaar 2002 aan de politiezones en van een toelage aan sommige gemeenten.</w:t>
      </w:r>
    </w:p>
    <w:p w:rsidR="001862F9" w:rsidRPr="00350614" w:rsidRDefault="001862F9" w:rsidP="001862F9">
      <w:pPr>
        <w:spacing w:after="0" w:line="240" w:lineRule="exact"/>
        <w:rPr>
          <w:rStyle w:val="Emphasis"/>
          <w:sz w:val="18"/>
          <w:szCs w:val="18"/>
        </w:rPr>
      </w:pPr>
    </w:p>
    <w:p w:rsidR="001862F9" w:rsidRPr="00350614" w:rsidRDefault="001862F9" w:rsidP="001862F9">
      <w:pPr>
        <w:spacing w:after="0" w:line="240" w:lineRule="exact"/>
        <w:rPr>
          <w:rStyle w:val="Emphasis"/>
          <w:sz w:val="18"/>
          <w:szCs w:val="18"/>
        </w:rPr>
      </w:pPr>
      <w:r w:rsidRPr="00350614">
        <w:rPr>
          <w:rStyle w:val="Emphasis"/>
          <w:sz w:val="18"/>
          <w:szCs w:val="18"/>
        </w:rPr>
        <w:t>Gelet op de rechtspraak van de Raad van State, zijn het sinds het boekjaar 2010 de bedragen aan 100% die gestort worden aan alle politiezon</w:t>
      </w:r>
      <w:r w:rsidR="002A0314">
        <w:rPr>
          <w:rStyle w:val="Emphasis"/>
          <w:sz w:val="18"/>
          <w:szCs w:val="18"/>
        </w:rPr>
        <w:t>es en die dus voor het jaar 2023</w:t>
      </w:r>
      <w:r w:rsidRPr="00350614">
        <w:rPr>
          <w:rStyle w:val="Emphasis"/>
          <w:sz w:val="18"/>
          <w:szCs w:val="18"/>
        </w:rPr>
        <w:t xml:space="preserve"> voortgezet worden middels indexering:  </w:t>
      </w:r>
    </w:p>
    <w:p w:rsidR="001862F9" w:rsidRPr="00F17082" w:rsidRDefault="001862F9" w:rsidP="001862F9">
      <w:pPr>
        <w:spacing w:after="0" w:line="240" w:lineRule="exact"/>
        <w:rPr>
          <w:rFonts w:ascii="Calibri" w:hAnsi="Calibri"/>
          <w:szCs w:val="18"/>
          <w:lang w:val="nl-NL"/>
        </w:rPr>
      </w:pPr>
    </w:p>
    <w:p w:rsidR="001862F9" w:rsidRPr="00F17082" w:rsidRDefault="001862F9" w:rsidP="001862F9">
      <w:pPr>
        <w:ind w:left="709"/>
        <w:rPr>
          <w:rFonts w:ascii="Calibri" w:hAnsi="Calibri" w:cs="Arial"/>
          <w:b/>
          <w:bCs/>
          <w:szCs w:val="18"/>
          <w:lang w:val="nl-NL" w:eastAsia="fr-BE"/>
        </w:rPr>
      </w:pPr>
    </w:p>
    <w:p w:rsidR="001862F9" w:rsidRPr="00931342" w:rsidRDefault="009D3E49" w:rsidP="009D3E49">
      <w:pPr>
        <w:pStyle w:val="Heading1"/>
        <w:rPr>
          <w:highlight w:val="lightGray"/>
          <w:lang w:val="nl-NL"/>
        </w:rPr>
      </w:pPr>
      <w:r w:rsidRPr="00931342">
        <w:rPr>
          <w:lang w:val="nl-NL"/>
        </w:rPr>
        <w:t xml:space="preserve">De </w:t>
      </w:r>
      <w:r>
        <w:rPr>
          <w:lang w:val="nl-NL"/>
        </w:rPr>
        <w:t>dotati</w:t>
      </w:r>
      <w:r w:rsidRPr="00931342">
        <w:rPr>
          <w:lang w:val="nl-NL"/>
        </w:rPr>
        <w:t>e uitrusting handhaving openbare orde</w:t>
      </w:r>
    </w:p>
    <w:p w:rsidR="009D3E49" w:rsidRPr="00350614" w:rsidRDefault="009D3E49" w:rsidP="00350614">
      <w:pPr>
        <w:rPr>
          <w:rStyle w:val="Emphasis"/>
          <w:sz w:val="18"/>
          <w:szCs w:val="18"/>
          <w:lang w:val="nl-NL"/>
        </w:rPr>
      </w:pPr>
      <w:r w:rsidRPr="00350614">
        <w:rPr>
          <w:rStyle w:val="Emphasis"/>
          <w:sz w:val="18"/>
          <w:szCs w:val="18"/>
          <w:lang w:val="nl-NL"/>
        </w:rPr>
        <w:t>De paramaters voor de federale basisdotatie en de federale bijkomende dotatie werden vastgelegd in het kader van de politiehervorming en de hierop volgende tegensprekelijke debatten en analyse inzake de ‘aanvaardbare meerkost’ in 2002. Hierbij werden kosten voor de vervanging en/of onderhoud van de uitrusting handhaving openbare orde, niet in rekening gebracht. Al snel bleek echter dat sommige politiezones verhoudingsgewijs te weinig individuele uitrusting voor handhaving openbare orde ontvingen voor de overgedra</w:t>
      </w:r>
      <w:r w:rsidR="00350614" w:rsidRPr="00350614">
        <w:rPr>
          <w:rStyle w:val="Emphasis"/>
          <w:sz w:val="18"/>
          <w:szCs w:val="18"/>
        </w:rPr>
        <w:t xml:space="preserve">gen federale personeelsleden.  </w:t>
      </w:r>
    </w:p>
    <w:p w:rsidR="009D3E49" w:rsidRPr="00350614" w:rsidRDefault="009D3E49" w:rsidP="00350614">
      <w:pPr>
        <w:rPr>
          <w:rStyle w:val="Emphasis"/>
          <w:sz w:val="18"/>
          <w:szCs w:val="18"/>
          <w:lang w:val="nl-NL"/>
        </w:rPr>
      </w:pPr>
      <w:r w:rsidRPr="00350614">
        <w:rPr>
          <w:rStyle w:val="Emphasis"/>
          <w:sz w:val="18"/>
          <w:szCs w:val="18"/>
          <w:lang w:val="nl-NL"/>
        </w:rPr>
        <w:t>Om tegemoet te komen aan dit tekort besloot de federale Regering om reeds in 2002 een toelage toe te kennen aan de benadeelde zones in kwestie en bovendien vanaf 2003 een recurrente forfaitaire tegemoetkoming ten gunste van het geheel van de politiezones toe te kennen voor de jaarlijkse kost voor vervanging en/of onderhoud van de individuele en collectieve uitru</w:t>
      </w:r>
      <w:r w:rsidR="00350614">
        <w:rPr>
          <w:rStyle w:val="Emphasis"/>
          <w:sz w:val="18"/>
          <w:szCs w:val="18"/>
          <w:lang w:val="nl-NL"/>
        </w:rPr>
        <w:t>sting handhaving openbare orde.</w:t>
      </w:r>
    </w:p>
    <w:p w:rsidR="001862F9" w:rsidRPr="00350614" w:rsidRDefault="009D3E49" w:rsidP="00350614">
      <w:pPr>
        <w:rPr>
          <w:rStyle w:val="Emphasis"/>
          <w:sz w:val="18"/>
          <w:szCs w:val="18"/>
        </w:rPr>
      </w:pPr>
      <w:r w:rsidRPr="00350614">
        <w:rPr>
          <w:rStyle w:val="Emphasis"/>
          <w:sz w:val="18"/>
          <w:szCs w:val="18"/>
          <w:lang w:val="nl-NL"/>
        </w:rPr>
        <w:t>Op 1 januari 2018 trad de Ministeriële richtlijn MFO-2</w:t>
      </w:r>
      <w:r w:rsidR="00350614" w:rsidRPr="00350614">
        <w:rPr>
          <w:rStyle w:val="Emphasis"/>
          <w:sz w:val="18"/>
          <w:szCs w:val="18"/>
        </w:rPr>
        <w:t xml:space="preserve"> in</w:t>
      </w:r>
      <w:r w:rsidRPr="00350614">
        <w:rPr>
          <w:rStyle w:val="Emphasis"/>
          <w:sz w:val="18"/>
          <w:szCs w:val="18"/>
          <w:lang w:val="nl-NL"/>
        </w:rPr>
        <w:t xml:space="preserve">. Deze richtlijn maakt, naar gelang de aard van de opdrachten waarvoor de zones versterking (kunnen) bieden, een onderscheid tussen politiezones van de categorie HyCap A en HyCap B. Volgens de richtlijn zal de dotatie uitrusting handhaving openbare orde, die sinds 2003 recurrent wordt toegekend aan de gemeenten en meergemeentepolitiezones, nog slechts worden toegekend ter financiële ondersteuning van de politiezones HyCap B en aan de politiezones HyCap A die ervoor opteren om, via een associatie of structureel samenwerkingsverband, ingedeeld te </w:t>
      </w:r>
      <w:r w:rsidR="00350614" w:rsidRPr="00350614">
        <w:rPr>
          <w:rStyle w:val="Emphasis"/>
          <w:sz w:val="18"/>
          <w:szCs w:val="18"/>
        </w:rPr>
        <w:t>worden in de categorie HyCap B.</w:t>
      </w:r>
    </w:p>
    <w:p w:rsidR="001862F9" w:rsidRPr="00931342" w:rsidRDefault="001D7C58" w:rsidP="001D7C58">
      <w:pPr>
        <w:pStyle w:val="Heading1"/>
        <w:rPr>
          <w:lang w:val="nl-NL"/>
        </w:rPr>
      </w:pPr>
      <w:r>
        <w:rPr>
          <w:lang w:val="nl-NL"/>
        </w:rPr>
        <w:lastRenderedPageBreak/>
        <w:t>De Dotatie Salduz</w:t>
      </w:r>
    </w:p>
    <w:p w:rsidR="00350614" w:rsidRPr="00350614" w:rsidRDefault="00350614" w:rsidP="00350614">
      <w:pPr>
        <w:rPr>
          <w:rStyle w:val="Emphasis"/>
          <w:sz w:val="18"/>
          <w:szCs w:val="18"/>
          <w:lang w:val="nl-NL"/>
        </w:rPr>
      </w:pPr>
      <w:r w:rsidRPr="00350614">
        <w:rPr>
          <w:rStyle w:val="Emphasis"/>
          <w:sz w:val="18"/>
          <w:szCs w:val="18"/>
          <w:lang w:val="nl-NL"/>
        </w:rPr>
        <w:t xml:space="preserve">Wanneer de SALDUZ wet in werking trad in 2012 en dit stijgende kosten met zich meebracht voor de politiezones, lag de structurele federale financiering vast.  </w:t>
      </w:r>
    </w:p>
    <w:p w:rsidR="00350614" w:rsidRPr="00350614" w:rsidRDefault="00350614" w:rsidP="00350614">
      <w:pPr>
        <w:rPr>
          <w:rStyle w:val="Emphasis"/>
          <w:sz w:val="18"/>
          <w:szCs w:val="18"/>
          <w:lang w:val="nl-NL"/>
        </w:rPr>
      </w:pPr>
    </w:p>
    <w:p w:rsidR="00350614" w:rsidRDefault="00350614" w:rsidP="00350614">
      <w:pPr>
        <w:rPr>
          <w:rStyle w:val="Emphasis"/>
          <w:sz w:val="18"/>
          <w:szCs w:val="18"/>
          <w:lang w:val="nl-NL"/>
        </w:rPr>
      </w:pPr>
      <w:r w:rsidRPr="00350614">
        <w:rPr>
          <w:rStyle w:val="Emphasis"/>
          <w:sz w:val="18"/>
          <w:szCs w:val="18"/>
          <w:lang w:val="nl-NL"/>
        </w:rPr>
        <w:t xml:space="preserve">Om tegemoet te komen aan de meerkost waarmee de politiezones in het kader van de wet SALDUZ werden geconfronteerd en die niet in rekening was gebracht bij de bepaling van de federale basisdotatie en de bijkomende federale dotatie, besloot de federale Regering in 2012 tot een financiële tussenkomst </w:t>
      </w:r>
      <w:r>
        <w:rPr>
          <w:rStyle w:val="Emphasis"/>
          <w:sz w:val="18"/>
          <w:szCs w:val="18"/>
          <w:lang w:val="nl-NL"/>
        </w:rPr>
        <w:t>ten gunste van de politiezones.</w:t>
      </w:r>
    </w:p>
    <w:p w:rsidR="001862F9" w:rsidRDefault="00350614" w:rsidP="001862F9">
      <w:pPr>
        <w:rPr>
          <w:rStyle w:val="Emphasis"/>
          <w:sz w:val="18"/>
          <w:szCs w:val="18"/>
          <w:lang w:val="nl-NL"/>
        </w:rPr>
      </w:pPr>
      <w:r>
        <w:rPr>
          <w:rStyle w:val="Emphasis"/>
          <w:sz w:val="18"/>
          <w:szCs w:val="18"/>
          <w:lang w:val="nl-NL"/>
        </w:rPr>
        <w:t>Het bedrag dient, naargelang het</w:t>
      </w:r>
      <w:r w:rsidRPr="00350614">
        <w:rPr>
          <w:rStyle w:val="Emphasis"/>
          <w:sz w:val="18"/>
          <w:szCs w:val="18"/>
          <w:lang w:val="nl-NL"/>
        </w:rPr>
        <w:t xml:space="preserve"> aantal uitgevoerde tussenkomsten SALDUZ van categorie III en IV te worden verd</w:t>
      </w:r>
      <w:r w:rsidR="002A0314">
        <w:rPr>
          <w:rStyle w:val="Emphasis"/>
          <w:sz w:val="18"/>
          <w:szCs w:val="18"/>
          <w:lang w:val="nl-NL"/>
        </w:rPr>
        <w:t>eeld onder de 183</w:t>
      </w:r>
      <w:r>
        <w:rPr>
          <w:rStyle w:val="Emphasis"/>
          <w:sz w:val="18"/>
          <w:szCs w:val="18"/>
          <w:lang w:val="nl-NL"/>
        </w:rPr>
        <w:t xml:space="preserve"> politiezones.</w:t>
      </w:r>
    </w:p>
    <w:p w:rsidR="001D7C58" w:rsidRPr="001D7C58" w:rsidRDefault="001D7C58" w:rsidP="001D7C58">
      <w:pPr>
        <w:pStyle w:val="Heading1"/>
      </w:pPr>
      <w:r w:rsidRPr="001D7C58">
        <w:t xml:space="preserve">De federale dotatie ter stimulering van bepaalde initiatieven </w:t>
      </w:r>
    </w:p>
    <w:p w:rsidR="001862F9" w:rsidRPr="001D7C58" w:rsidRDefault="001D7C58" w:rsidP="001862F9">
      <w:pPr>
        <w:rPr>
          <w:rStyle w:val="Emphasis"/>
          <w:sz w:val="18"/>
          <w:szCs w:val="18"/>
        </w:rPr>
      </w:pPr>
      <w:r w:rsidRPr="001D7C58">
        <w:rPr>
          <w:rStyle w:val="Emphasis"/>
          <w:sz w:val="18"/>
          <w:szCs w:val="18"/>
        </w:rPr>
        <w:t xml:space="preserve">De federale dotatie ter stimulering van bepaalde initiatieven is </w:t>
      </w:r>
      <w:r w:rsidRPr="001D7C58">
        <w:rPr>
          <w:rStyle w:val="Emphasis"/>
          <w:sz w:val="18"/>
          <w:szCs w:val="18"/>
          <w:lang w:val="nl-NL"/>
        </w:rPr>
        <w:t>bestemd om bepaalde initiatieven te stimuleren in de politiezones die geconfronteerd worden met meerkosten die te wijten zijn aan problematische toestanden die een bijkomende werklast veroorzaken die ten tijde van de politiehervorming niet kon worden voorzien en zonder dat er met deze dimensie rekening werd gehouden in het kader van de generieke financiering.</w:t>
      </w:r>
    </w:p>
    <w:p w:rsidR="001862F9" w:rsidRPr="002161FC" w:rsidRDefault="002161FC" w:rsidP="002161FC">
      <w:pPr>
        <w:pStyle w:val="Heading1"/>
        <w:rPr>
          <w:rStyle w:val="Emphasis"/>
          <w:i w:val="0"/>
        </w:rPr>
      </w:pPr>
      <w:r w:rsidRPr="002161FC">
        <w:rPr>
          <w:rStyle w:val="Emphasis"/>
          <w:i w:val="0"/>
        </w:rPr>
        <w:t xml:space="preserve">De federale dotatie in het kader van het sectoraal akkoord </w:t>
      </w:r>
      <w:r w:rsidR="002A0314">
        <w:rPr>
          <w:rStyle w:val="Emphasis"/>
          <w:i w:val="0"/>
        </w:rPr>
        <w:t>2018</w:t>
      </w:r>
    </w:p>
    <w:p w:rsidR="002161FC" w:rsidRDefault="002161FC" w:rsidP="002161FC">
      <w:pPr>
        <w:pStyle w:val="BodyText"/>
        <w:spacing w:after="0" w:line="276" w:lineRule="auto"/>
        <w:rPr>
          <w:rFonts w:ascii="Calibri" w:hAnsi="Calibri" w:cs="Calibri"/>
        </w:rPr>
      </w:pPr>
      <w:r w:rsidRPr="00201A33">
        <w:rPr>
          <w:rFonts w:ascii="Calibri" w:hAnsi="Calibri" w:cs="Calibri"/>
        </w:rPr>
        <w:t xml:space="preserve">Op 1 juli 2019 trad het </w:t>
      </w:r>
      <w:r w:rsidRPr="00B01874">
        <w:rPr>
          <w:rFonts w:ascii="Calibri" w:hAnsi="Calibri" w:cs="Calibri"/>
          <w:b/>
        </w:rPr>
        <w:t>sectoraal akkoord van 13 september 2018</w:t>
      </w:r>
      <w:r w:rsidRPr="00201A33">
        <w:rPr>
          <w:rFonts w:ascii="Calibri" w:hAnsi="Calibri" w:cs="Calibri"/>
        </w:rPr>
        <w:t xml:space="preserve"> in werking,</w:t>
      </w:r>
      <w:r>
        <w:rPr>
          <w:rFonts w:ascii="Calibri" w:hAnsi="Calibri" w:cs="Calibri"/>
        </w:rPr>
        <w:t xml:space="preserve"> dit akkoord bestond uit drie luiken:</w:t>
      </w:r>
    </w:p>
    <w:p w:rsidR="002161FC" w:rsidRDefault="002161FC" w:rsidP="002161FC">
      <w:pPr>
        <w:pStyle w:val="BodyText"/>
        <w:numPr>
          <w:ilvl w:val="0"/>
          <w:numId w:val="14"/>
        </w:numPr>
        <w:spacing w:after="0" w:line="276" w:lineRule="auto"/>
        <w:rPr>
          <w:rFonts w:ascii="Calibri" w:hAnsi="Calibri" w:cs="Calibri"/>
        </w:rPr>
      </w:pPr>
      <w:r>
        <w:rPr>
          <w:rFonts w:ascii="Calibri" w:hAnsi="Calibri" w:cs="Calibri"/>
        </w:rPr>
        <w:t xml:space="preserve">De aanpassing en vooral verhoging van de loonschalen en de opheffing van het stelsel van gecertificeerde opleidingen. </w:t>
      </w:r>
    </w:p>
    <w:p w:rsidR="002161FC" w:rsidRDefault="002161FC" w:rsidP="002161FC">
      <w:pPr>
        <w:pStyle w:val="BodyText"/>
        <w:numPr>
          <w:ilvl w:val="0"/>
          <w:numId w:val="14"/>
        </w:numPr>
        <w:spacing w:after="0" w:line="276" w:lineRule="auto"/>
        <w:rPr>
          <w:rFonts w:ascii="Calibri" w:hAnsi="Calibri" w:cs="Calibri"/>
        </w:rPr>
      </w:pPr>
      <w:r>
        <w:rPr>
          <w:rFonts w:ascii="Calibri" w:hAnsi="Calibri" w:cs="Calibri"/>
        </w:rPr>
        <w:t>Schappen van toelagen en vergoedingen</w:t>
      </w:r>
    </w:p>
    <w:p w:rsidR="002161FC" w:rsidRDefault="002161FC" w:rsidP="002161FC">
      <w:pPr>
        <w:pStyle w:val="BodyText"/>
        <w:numPr>
          <w:ilvl w:val="0"/>
          <w:numId w:val="14"/>
        </w:numPr>
        <w:spacing w:after="0" w:line="276" w:lineRule="auto"/>
        <w:rPr>
          <w:rFonts w:ascii="Calibri" w:hAnsi="Calibri" w:cs="Calibri"/>
        </w:rPr>
      </w:pPr>
      <w:r>
        <w:rPr>
          <w:rFonts w:ascii="Calibri" w:hAnsi="Calibri" w:cs="Calibri"/>
        </w:rPr>
        <w:t>Introductie van een nieuw systeem van maaltijdcheques (vanaf november 2022)</w:t>
      </w:r>
    </w:p>
    <w:p w:rsidR="002161FC" w:rsidRDefault="002161FC" w:rsidP="002161FC">
      <w:pPr>
        <w:pStyle w:val="BodyText"/>
        <w:spacing w:after="0" w:line="276" w:lineRule="auto"/>
        <w:rPr>
          <w:rFonts w:ascii="Calibri" w:hAnsi="Calibri" w:cs="Calibri"/>
        </w:rPr>
      </w:pPr>
      <w:r w:rsidRPr="00201A33">
        <w:rPr>
          <w:rFonts w:ascii="Calibri" w:hAnsi="Calibri" w:cs="Calibri"/>
        </w:rPr>
        <w:t>Bij het afsluiten van het sectoraal akkoord werd, onder de Regeri</w:t>
      </w:r>
      <w:r>
        <w:rPr>
          <w:rFonts w:ascii="Calibri" w:hAnsi="Calibri" w:cs="Calibri"/>
        </w:rPr>
        <w:t>ng Michel I, afgesproken dat de</w:t>
      </w:r>
      <w:r w:rsidRPr="00201A33">
        <w:rPr>
          <w:rFonts w:ascii="Calibri" w:hAnsi="Calibri" w:cs="Calibri"/>
        </w:rPr>
        <w:t xml:space="preserve"> federale overheid de budgettaire impact van de implementatie van het sectoraal akkoord voor de politiezones zou beperken door de fiscale en sociale meerontvangsten op federaal niveau (ten gevolge van de loonsverhogingen) onder de vorm van een dotatie toe te kennen aan de politiezones.</w:t>
      </w:r>
      <w:r>
        <w:rPr>
          <w:rFonts w:ascii="Calibri" w:hAnsi="Calibri" w:cs="Calibri"/>
        </w:rPr>
        <w:t xml:space="preserve"> Hierbij</w:t>
      </w:r>
      <w:r w:rsidRPr="00201A33">
        <w:rPr>
          <w:rFonts w:ascii="Calibri" w:hAnsi="Calibri" w:cs="Calibri"/>
        </w:rPr>
        <w:t xml:space="preserve"> werd </w:t>
      </w:r>
      <w:r>
        <w:rPr>
          <w:rFonts w:ascii="Calibri" w:hAnsi="Calibri" w:cs="Calibri"/>
        </w:rPr>
        <w:t>op basis van een raming van die meerontvangsten voor</w:t>
      </w:r>
      <w:r w:rsidRPr="00201A33">
        <w:rPr>
          <w:rFonts w:ascii="Calibri" w:hAnsi="Calibri" w:cs="Calibri"/>
        </w:rPr>
        <w:t xml:space="preserve"> 2019</w:t>
      </w:r>
      <w:r>
        <w:rPr>
          <w:rFonts w:ascii="Calibri" w:hAnsi="Calibri" w:cs="Calibri"/>
        </w:rPr>
        <w:t xml:space="preserve"> een krediet voor de dotatie gepland van 4,5 miljoen EUR die sinds jaarlijks uitbetaald wordt aan de politiezones.</w:t>
      </w:r>
    </w:p>
    <w:p w:rsidR="002A0314" w:rsidRPr="002161FC" w:rsidRDefault="002A0314" w:rsidP="002A0314">
      <w:pPr>
        <w:pStyle w:val="Heading1"/>
        <w:rPr>
          <w:rStyle w:val="Emphasis"/>
          <w:i w:val="0"/>
        </w:rPr>
      </w:pPr>
      <w:r w:rsidRPr="002161FC">
        <w:rPr>
          <w:rStyle w:val="Emphasis"/>
          <w:i w:val="0"/>
        </w:rPr>
        <w:t xml:space="preserve">De federale dotatie in het kader van het sectoraal akkoord </w:t>
      </w:r>
      <w:r>
        <w:rPr>
          <w:rStyle w:val="Emphasis"/>
          <w:i w:val="0"/>
        </w:rPr>
        <w:t xml:space="preserve">2022 </w:t>
      </w:r>
      <w:r w:rsidRPr="002A0314">
        <w:rPr>
          <w:rStyle w:val="Emphasis"/>
          <w:i w:val="0"/>
          <w:color w:val="FF0000"/>
        </w:rPr>
        <w:t>(NIEUW)</w:t>
      </w:r>
    </w:p>
    <w:p w:rsidR="00A16DF1" w:rsidRDefault="002A0314" w:rsidP="002161FC">
      <w:pPr>
        <w:pStyle w:val="BodyText"/>
        <w:spacing w:after="0" w:line="276" w:lineRule="auto"/>
        <w:rPr>
          <w:rFonts w:ascii="Calibri" w:hAnsi="Calibri" w:cs="Calibri"/>
        </w:rPr>
      </w:pPr>
      <w:r>
        <w:rPr>
          <w:rFonts w:ascii="Calibri" w:hAnsi="Calibri" w:cs="Calibri"/>
        </w:rPr>
        <w:t xml:space="preserve">Op 1 oktober 2023 trad het </w:t>
      </w:r>
      <w:r>
        <w:rPr>
          <w:rFonts w:ascii="Calibri" w:hAnsi="Calibri" w:cs="Calibri"/>
          <w:b/>
        </w:rPr>
        <w:t xml:space="preserve">sectoraal akkoord van 8 september 2022 </w:t>
      </w:r>
      <w:r>
        <w:rPr>
          <w:rFonts w:ascii="Calibri" w:hAnsi="Calibri" w:cs="Calibri"/>
        </w:rPr>
        <w:t>in werking, dit akkoord bestond uit de aanpassing en vooral verhoging van de meeste loonschalen.</w:t>
      </w:r>
    </w:p>
    <w:p w:rsidR="002A0314" w:rsidRDefault="002A0314" w:rsidP="002161FC">
      <w:pPr>
        <w:pStyle w:val="BodyText"/>
        <w:spacing w:after="0" w:line="276" w:lineRule="auto"/>
        <w:rPr>
          <w:rFonts w:ascii="Calibri" w:hAnsi="Calibri" w:cs="Calibri"/>
        </w:rPr>
      </w:pPr>
      <w:r w:rsidRPr="002A0314">
        <w:rPr>
          <w:rFonts w:ascii="Calibri" w:hAnsi="Calibri" w:cs="Calibri"/>
        </w:rPr>
        <w:t>Overeenkomstig de Algemene toelichting bij de initiële begroting 2023 van 10 november 2022</w:t>
      </w:r>
      <w:r w:rsidR="00A16DF1">
        <w:rPr>
          <w:rFonts w:ascii="Calibri" w:hAnsi="Calibri" w:cs="Calibri"/>
        </w:rPr>
        <w:t xml:space="preserve"> en de Notificatie van de begroting 2024 van 13 oktober 2023</w:t>
      </w:r>
      <w:r w:rsidRPr="002A0314">
        <w:rPr>
          <w:rFonts w:ascii="Calibri" w:hAnsi="Calibri" w:cs="Calibri"/>
        </w:rPr>
        <w:t xml:space="preserve"> worden de maatregelen van dit sectoraal akkoord als volgt gefaseerd inge</w:t>
      </w:r>
      <w:r w:rsidR="00A16DF1">
        <w:rPr>
          <w:rFonts w:ascii="Calibri" w:hAnsi="Calibri" w:cs="Calibri"/>
        </w:rPr>
        <w:t>voerd: 45% vanaf 1 oktober 2023 en 100% vanaf 1 oktober 2024.</w:t>
      </w:r>
    </w:p>
    <w:p w:rsidR="00A16DF1" w:rsidRDefault="00A16DF1" w:rsidP="002161FC">
      <w:pPr>
        <w:pStyle w:val="BodyText"/>
        <w:spacing w:after="0" w:line="276" w:lineRule="auto"/>
        <w:rPr>
          <w:rFonts w:ascii="Calibri" w:hAnsi="Calibri" w:cs="Calibri"/>
        </w:rPr>
      </w:pPr>
    </w:p>
    <w:p w:rsidR="00A16DF1" w:rsidRPr="002A0314" w:rsidRDefault="00A16DF1" w:rsidP="002161FC">
      <w:pPr>
        <w:pStyle w:val="BodyText"/>
        <w:spacing w:after="0" w:line="276" w:lineRule="auto"/>
        <w:rPr>
          <w:rFonts w:ascii="Calibri" w:hAnsi="Calibri" w:cs="Calibri"/>
        </w:rPr>
      </w:pPr>
      <w:bookmarkStart w:id="0" w:name="_GoBack"/>
      <w:bookmarkEnd w:id="0"/>
    </w:p>
    <w:p w:rsidR="001862F9" w:rsidRPr="00931342" w:rsidRDefault="001862F9" w:rsidP="001862F9"/>
    <w:p w:rsidR="001862F9" w:rsidRPr="00931342" w:rsidRDefault="00CD15A3" w:rsidP="002161FC">
      <w:pPr>
        <w:pStyle w:val="Heading1"/>
        <w:rPr>
          <w:lang w:val="nl-NL"/>
        </w:rPr>
      </w:pPr>
      <w:r>
        <w:rPr>
          <w:lang w:val="nl-NL"/>
        </w:rPr>
        <w:lastRenderedPageBreak/>
        <w:t>De sociale toelage I</w:t>
      </w:r>
    </w:p>
    <w:p w:rsidR="001862F9" w:rsidRPr="00931342" w:rsidRDefault="001862F9" w:rsidP="001862F9">
      <w:pPr>
        <w:spacing w:after="0" w:line="240" w:lineRule="exact"/>
        <w:rPr>
          <w:rFonts w:ascii="Calibri" w:hAnsi="Calibri"/>
          <w:sz w:val="19"/>
          <w:szCs w:val="19"/>
          <w:lang w:val="nl-NL"/>
        </w:rPr>
      </w:pPr>
    </w:p>
    <w:p w:rsidR="002161FC" w:rsidRPr="002161FC" w:rsidRDefault="001862F9" w:rsidP="002161FC">
      <w:pPr>
        <w:spacing w:after="0" w:line="240" w:lineRule="exact"/>
        <w:rPr>
          <w:rStyle w:val="Emphasis"/>
          <w:i w:val="0"/>
          <w:sz w:val="18"/>
          <w:szCs w:val="18"/>
        </w:rPr>
      </w:pPr>
      <w:r w:rsidRPr="002161FC">
        <w:rPr>
          <w:rStyle w:val="Emphasis"/>
          <w:i w:val="0"/>
          <w:sz w:val="18"/>
          <w:szCs w:val="18"/>
        </w:rPr>
        <w:t>De sociale toelage I is de tegenhanger van de sociale werkgeversbijdragen verschuldigd op het loon van de naar de lokale politie overgehevelde rijkswachters/militairen. De sociale toelage I wordt gestort aan de RSZ met de vaststelling van een bedrag per politiezone dat afgetrokken wordt van het totaal van de sociale zekerheidsbijdragen die de zone verschuldigd is aan de RSZ (Art. 190 van de programmawet van 24 december 2002).</w:t>
      </w:r>
    </w:p>
    <w:p w:rsidR="001862F9" w:rsidRPr="002161FC" w:rsidRDefault="001862F9" w:rsidP="001862F9">
      <w:pPr>
        <w:spacing w:before="200" w:after="0" w:line="240" w:lineRule="exact"/>
        <w:rPr>
          <w:rStyle w:val="Emphasis"/>
          <w:i w:val="0"/>
          <w:sz w:val="18"/>
          <w:szCs w:val="18"/>
        </w:rPr>
      </w:pPr>
      <w:r w:rsidRPr="002161FC">
        <w:rPr>
          <w:rStyle w:val="Emphasis"/>
          <w:i w:val="0"/>
          <w:sz w:val="18"/>
          <w:szCs w:val="18"/>
        </w:rPr>
        <w:t xml:space="preserve">De initiële sociale toelage I werd (meer bepaald) berekend op basis van een sinds 2002 ongewijzigd gebleven bijdragevoet van 20% voor de pensioenen. </w:t>
      </w:r>
    </w:p>
    <w:p w:rsidR="001862F9" w:rsidRPr="002161FC" w:rsidRDefault="001862F9" w:rsidP="001862F9">
      <w:pPr>
        <w:spacing w:before="200" w:after="0" w:line="240" w:lineRule="exact"/>
        <w:rPr>
          <w:rStyle w:val="Emphasis"/>
          <w:i w:val="0"/>
          <w:sz w:val="18"/>
          <w:szCs w:val="18"/>
        </w:rPr>
      </w:pPr>
      <w:r w:rsidRPr="002161FC">
        <w:rPr>
          <w:rStyle w:val="Emphasis"/>
          <w:i w:val="0"/>
          <w:sz w:val="18"/>
          <w:szCs w:val="18"/>
        </w:rPr>
        <w:t xml:space="preserve">Toen de bijdragevoet in 2012 steeg van 20 naar 21,5% (en de problematiek van de verhoging zich dus de eerste keer voordeed), bevestigde de Minister van Sociale Zaken - in haar hoedanigheid van mede-ondertekenaar van het koninklijk besluit tot bepaling van de sociale dotatie - dat ze de sociale toelage I wilt vrijwaren tegen het systematisch karakter van het effect van de fluctuaties van de bijdragevoet. Door de goedkeuring van de wet van 25 april 2014 houdende diverse bepalingen inzake sociale zekerheid, wordt de werkgeversbijdrage voor de pensioenen die geïntegreerd is in de sociale toelage I (artikel 13bis wet van 6 mei 2002), voortaan bepaald door verwijzing naar de wet van 24 oktober 2011 tot vrijwaring van een duurzame financiering van de pensioenen van de vastbenoemde personeelsleden van de provinciale en plaatselijke besturen en van de lokale politiezones. Dit geeft een formele wettelijke grondslag aan de integratie van de geleidelijke verhoging (van 20 naar 35,5%) van de bijdragevoet voor de pensioenen die voorzien is door artikel 18, 4) van de voormelde wet, in de berekening van de sociale toelage I. </w:t>
      </w:r>
    </w:p>
    <w:p w:rsidR="001862F9" w:rsidRPr="002161FC" w:rsidRDefault="001862F9" w:rsidP="001862F9">
      <w:pPr>
        <w:spacing w:after="0" w:line="240" w:lineRule="exact"/>
        <w:rPr>
          <w:rStyle w:val="Emphasis"/>
          <w:i w:val="0"/>
          <w:sz w:val="18"/>
          <w:szCs w:val="18"/>
        </w:rPr>
      </w:pPr>
    </w:p>
    <w:p w:rsidR="001862F9" w:rsidRPr="002161FC" w:rsidRDefault="001862F9" w:rsidP="001862F9">
      <w:pPr>
        <w:spacing w:after="0" w:line="240" w:lineRule="exact"/>
        <w:rPr>
          <w:rStyle w:val="Emphasis"/>
          <w:i w:val="0"/>
          <w:sz w:val="18"/>
          <w:szCs w:val="18"/>
        </w:rPr>
      </w:pPr>
      <w:r w:rsidRPr="002161FC">
        <w:rPr>
          <w:rStyle w:val="Emphasis"/>
          <w:i w:val="0"/>
          <w:sz w:val="18"/>
          <w:szCs w:val="18"/>
        </w:rPr>
        <w:t xml:space="preserve">Overeenkomstig de akkoorden gesloten met de verenigingen van steden en gemeenten, evolueert de verdeling van de sociale toelage tussen de politiezones - oorspronkelijk toegekend (2003) a rato van de loonmassa voor 90% en a rato van de KUL-norm voor 10% - sinds het jaar 2005 en van jaar tot jaar, door het aandeel van de loonmassa te verminderen ten voordele van het aandeel dat voortvloeit uit de KUL-norm a rato van 5% van het globale bedrag (85/15 in 2005, 80/20 in 2006, 75/25 in 2007, 70/30 in 2008, 65/35 in 2009, 60/40 in 2010, 55/45 in 2011, 50/50 in 2012, 45/55 in 2013, 40/60 in 2014, 35/64 in 2015, 30/70 in 2016, 25/75 voor 2017, 20/80 voor 2018, 15/85 voor 2019, 10/90 voor 2020, 5/95 voor 2021 en voor 2022 wordt een verdeling bereikt voor 100% op basis van de KUL-norm). </w:t>
      </w:r>
    </w:p>
    <w:p w:rsidR="001862F9" w:rsidRPr="002161FC" w:rsidRDefault="001862F9" w:rsidP="001862F9">
      <w:pPr>
        <w:spacing w:after="0" w:line="240" w:lineRule="exact"/>
        <w:rPr>
          <w:rStyle w:val="Emphasis"/>
          <w:i w:val="0"/>
          <w:sz w:val="18"/>
          <w:szCs w:val="18"/>
        </w:rPr>
      </w:pPr>
    </w:p>
    <w:p w:rsidR="001862F9" w:rsidRDefault="001862F9" w:rsidP="001862F9">
      <w:pPr>
        <w:spacing w:after="0" w:line="240" w:lineRule="exact"/>
        <w:rPr>
          <w:rStyle w:val="Emphasis"/>
          <w:i w:val="0"/>
          <w:sz w:val="18"/>
          <w:szCs w:val="18"/>
        </w:rPr>
      </w:pPr>
      <w:r w:rsidRPr="002161FC">
        <w:rPr>
          <w:rStyle w:val="Emphasis"/>
          <w:i w:val="0"/>
          <w:sz w:val="18"/>
          <w:szCs w:val="18"/>
        </w:rPr>
        <w:t>Er wordt een intern solidariteitsmechanisme ingevoerd voor de verdeling van de sociale toelage I ten behoeve van de politiezones die geen eigen inspanningen moeten leveren in het kader van de verdeling van de federale basisdotatie ten laste van de politiezones die een positief begrotingssaldo vertonen (door de toepassing van de KUL-norm).</w:t>
      </w:r>
    </w:p>
    <w:p w:rsidR="00CD15A3" w:rsidRDefault="00CD15A3" w:rsidP="001862F9">
      <w:pPr>
        <w:spacing w:after="0" w:line="240" w:lineRule="exact"/>
        <w:rPr>
          <w:rStyle w:val="Emphasis"/>
          <w:i w:val="0"/>
          <w:sz w:val="18"/>
          <w:szCs w:val="18"/>
        </w:rPr>
      </w:pPr>
    </w:p>
    <w:p w:rsidR="00CD15A3" w:rsidRPr="00CD15A3" w:rsidRDefault="00CD15A3" w:rsidP="00CD15A3">
      <w:pPr>
        <w:pStyle w:val="Heading1"/>
        <w:rPr>
          <w:lang w:val="nl-NL"/>
        </w:rPr>
      </w:pPr>
      <w:r>
        <w:rPr>
          <w:lang w:val="nl-NL"/>
        </w:rPr>
        <w:t xml:space="preserve">De </w:t>
      </w:r>
      <w:r w:rsidRPr="00CD15A3">
        <w:rPr>
          <w:lang w:val="nl-NL"/>
        </w:rPr>
        <w:t xml:space="preserve">sociale toelage  II </w:t>
      </w:r>
    </w:p>
    <w:p w:rsidR="00CD15A3" w:rsidRPr="00CD15A3" w:rsidRDefault="00CD15A3" w:rsidP="00CD15A3">
      <w:pPr>
        <w:pStyle w:val="BodyText"/>
        <w:spacing w:after="240"/>
        <w:rPr>
          <w:rFonts w:ascii="Calibri" w:hAnsi="Calibri" w:cs="Calibri"/>
          <w:lang w:val="nl-NL"/>
        </w:rPr>
      </w:pPr>
      <w:r w:rsidRPr="00CD15A3">
        <w:rPr>
          <w:rFonts w:ascii="Calibri" w:hAnsi="Calibri" w:cs="Calibri"/>
          <w:lang w:val="nl-NL"/>
        </w:rPr>
        <w:t>Onder de federale sociale toelage II dient te worden verstaan de federale tegemoetkoming inzake de meerkost met betrekking tot de patronale sociale zekerheidsbijdragen op de toelagen, premies en vergoedingen van de personeelsleden van de politiezones verschuldigd door toepassing van het koninklijk besluit van 30 maart 2001 tot regeling van de rechtspositie van het personeel van de politied</w:t>
      </w:r>
      <w:r>
        <w:rPr>
          <w:rFonts w:ascii="Calibri" w:hAnsi="Calibri" w:cs="Calibri"/>
          <w:lang w:val="nl-NL"/>
        </w:rPr>
        <w:t xml:space="preserve">iensten, verder RPPol genoemd. </w:t>
      </w:r>
    </w:p>
    <w:p w:rsidR="00CD15A3" w:rsidRPr="00CD15A3" w:rsidRDefault="00CD15A3" w:rsidP="00CD15A3">
      <w:pPr>
        <w:pStyle w:val="BodyText"/>
        <w:spacing w:after="240"/>
        <w:rPr>
          <w:rFonts w:ascii="Calibri" w:hAnsi="Calibri" w:cs="Calibri"/>
          <w:lang w:val="nl-NL"/>
        </w:rPr>
      </w:pPr>
      <w:r w:rsidRPr="00CD15A3">
        <w:rPr>
          <w:rFonts w:ascii="Calibri" w:hAnsi="Calibri" w:cs="Calibri"/>
          <w:lang w:val="nl-NL"/>
        </w:rPr>
        <w:t>De RSZ berekent elk kwartaal de federale sociale toelage II voor dat kwartaal op basis van de aangifte driemaande</w:t>
      </w:r>
      <w:r>
        <w:rPr>
          <w:rFonts w:ascii="Calibri" w:hAnsi="Calibri" w:cs="Calibri"/>
          <w:lang w:val="nl-NL"/>
        </w:rPr>
        <w:t>lijks ingediend door het SSGPI.</w:t>
      </w:r>
    </w:p>
    <w:p w:rsidR="00CD15A3" w:rsidRPr="00CD15A3" w:rsidRDefault="00CD15A3" w:rsidP="00CD15A3">
      <w:pPr>
        <w:pStyle w:val="BodyText"/>
        <w:spacing w:after="240"/>
        <w:rPr>
          <w:rFonts w:ascii="Calibri" w:hAnsi="Calibri" w:cs="Calibri"/>
          <w:lang w:val="nl-NL"/>
        </w:rPr>
      </w:pPr>
      <w:r w:rsidRPr="00CD15A3">
        <w:rPr>
          <w:rFonts w:ascii="Calibri" w:hAnsi="Calibri" w:cs="Calibri"/>
          <w:lang w:val="nl-NL"/>
        </w:rPr>
        <w:t>Deze toelage voor een bepaald kwartaal is gelijk aan de voor de betreffende kwartaal verschuldigde patronale sociale zekerheidsbijdragen op de toelagen, premies en vergoedingen van de personeelsleden van de politiezone verschuldigd door toepassing van de RPPol minus het geïnd</w:t>
      </w:r>
      <w:r>
        <w:rPr>
          <w:rFonts w:ascii="Calibri" w:hAnsi="Calibri" w:cs="Calibri"/>
          <w:lang w:val="nl-NL"/>
        </w:rPr>
        <w:t>exeerde kwartaalplafond-bedrag.</w:t>
      </w:r>
    </w:p>
    <w:p w:rsidR="00CD15A3" w:rsidRPr="00CD15A3" w:rsidRDefault="00CD15A3" w:rsidP="00CD15A3">
      <w:pPr>
        <w:pStyle w:val="BodyText"/>
        <w:spacing w:after="240"/>
        <w:rPr>
          <w:rFonts w:ascii="Calibri" w:hAnsi="Calibri" w:cs="Calibri"/>
          <w:lang w:val="nl-NL"/>
        </w:rPr>
      </w:pPr>
      <w:r w:rsidRPr="00CD15A3">
        <w:rPr>
          <w:rFonts w:ascii="Calibri" w:hAnsi="Calibri" w:cs="Calibri"/>
          <w:lang w:val="nl-NL"/>
        </w:rPr>
        <w:t>De RSZ brengt elk kwartaal de voor dat kwartaal berekende federale sociale toelage II in mindering van het totaal bedrag dat de politiezone verschuldigd is inzake s</w:t>
      </w:r>
      <w:r>
        <w:rPr>
          <w:rFonts w:ascii="Calibri" w:hAnsi="Calibri" w:cs="Calibri"/>
          <w:lang w:val="nl-NL"/>
        </w:rPr>
        <w:t xml:space="preserve">ociale zekerheidsbijdragen. </w:t>
      </w:r>
    </w:p>
    <w:p w:rsidR="00CD15A3" w:rsidRPr="00CD15A3" w:rsidRDefault="00CD15A3" w:rsidP="00CD15A3">
      <w:pPr>
        <w:pStyle w:val="BodyText"/>
        <w:spacing w:after="240"/>
        <w:rPr>
          <w:rFonts w:ascii="Calibri" w:hAnsi="Calibri" w:cs="Calibri"/>
          <w:lang w:val="nl-NL"/>
        </w:rPr>
      </w:pPr>
      <w:r w:rsidRPr="00CD15A3">
        <w:rPr>
          <w:rFonts w:ascii="Calibri" w:hAnsi="Calibri" w:cs="Calibri"/>
          <w:lang w:val="nl-NL"/>
        </w:rPr>
        <w:t>De federale sociale toelage II wordt door de federale overheid rechtstreeks gestort aan de Sociale Zekerheid.</w:t>
      </w:r>
    </w:p>
    <w:p w:rsidR="00CD15A3" w:rsidRPr="00CD15A3" w:rsidRDefault="00CD15A3" w:rsidP="00CD15A3">
      <w:pPr>
        <w:pStyle w:val="BodyText"/>
        <w:spacing w:after="240"/>
        <w:rPr>
          <w:rFonts w:ascii="Calibri" w:hAnsi="Calibri" w:cs="Calibri"/>
          <w:lang w:val="nl-NL"/>
        </w:rPr>
      </w:pPr>
    </w:p>
    <w:p w:rsidR="00BA5998" w:rsidRPr="001862F9" w:rsidRDefault="00CD15A3" w:rsidP="00CD15A3">
      <w:pPr>
        <w:pStyle w:val="Heading1"/>
        <w:rPr>
          <w:lang w:val="nl-NL"/>
        </w:rPr>
      </w:pPr>
      <w:r w:rsidRPr="00CD15A3">
        <w:rPr>
          <w:lang w:val="nl-NL"/>
        </w:rPr>
        <w:lastRenderedPageBreak/>
        <w:t>Federale toelage inzake federaal overgedragen huurovereenkomsten</w:t>
      </w:r>
    </w:p>
    <w:p w:rsidR="00CD15A3" w:rsidRPr="00CB7D80" w:rsidRDefault="00CD15A3" w:rsidP="00CD15A3">
      <w:pPr>
        <w:rPr>
          <w:rStyle w:val="Emphasis"/>
          <w:sz w:val="18"/>
          <w:szCs w:val="18"/>
        </w:rPr>
      </w:pPr>
      <w:r w:rsidRPr="00CB7D80">
        <w:rPr>
          <w:rStyle w:val="Emphasis"/>
          <w:sz w:val="18"/>
          <w:szCs w:val="18"/>
        </w:rPr>
        <w:t>In uitvoering van artikel 248quater van de WGP diende de administratieve en logistieke gebouwen en hun terreinen die op 1 januari 2001 noodzakelijk waren voor de huisvesting van de federale ambtenaren die naar de lokale politie werden overgeheveld, overgedragen te worden naar de politiezones.</w:t>
      </w:r>
    </w:p>
    <w:p w:rsidR="00CD15A3" w:rsidRPr="00CB7D80" w:rsidRDefault="00CD15A3" w:rsidP="00CD15A3">
      <w:pPr>
        <w:rPr>
          <w:rStyle w:val="Emphasis"/>
          <w:sz w:val="18"/>
          <w:szCs w:val="18"/>
        </w:rPr>
      </w:pPr>
      <w:r w:rsidRPr="00CB7D80">
        <w:rPr>
          <w:rStyle w:val="Emphasis"/>
          <w:sz w:val="18"/>
          <w:szCs w:val="18"/>
        </w:rPr>
        <w:t>De overgedragen gebouwen en hun gronden dienen bijgevolg sinds 1 januari 2003 te worden opgenomen o</w:t>
      </w:r>
      <w:r w:rsidR="00CB7D80" w:rsidRPr="00CB7D80">
        <w:rPr>
          <w:rStyle w:val="Emphasis"/>
          <w:sz w:val="18"/>
          <w:szCs w:val="18"/>
        </w:rPr>
        <w:t>p de balans van de politiezone.</w:t>
      </w:r>
    </w:p>
    <w:p w:rsidR="00CB7D80" w:rsidRPr="00CB7D80" w:rsidRDefault="00CD15A3" w:rsidP="00CD15A3">
      <w:pPr>
        <w:rPr>
          <w:rStyle w:val="Emphasis"/>
          <w:sz w:val="18"/>
          <w:szCs w:val="18"/>
        </w:rPr>
      </w:pPr>
      <w:r w:rsidRPr="00CB7D80">
        <w:rPr>
          <w:rStyle w:val="Emphasis"/>
          <w:sz w:val="18"/>
          <w:szCs w:val="18"/>
        </w:rPr>
        <w:t xml:space="preserve">Met het oog op een gelijke behandeling van de politiezones wordt bij de overdracht van de administratieve en logistieke gebouwen en terreinen van de Staat naar de politiezones een correctiemechanisme </w:t>
      </w:r>
      <w:r w:rsidR="00CB7D80" w:rsidRPr="00CB7D80">
        <w:rPr>
          <w:rStyle w:val="Emphasis"/>
          <w:sz w:val="18"/>
          <w:szCs w:val="18"/>
        </w:rPr>
        <w:t xml:space="preserve">toegepast. </w:t>
      </w:r>
    </w:p>
    <w:p w:rsidR="00CD15A3" w:rsidRPr="00CB7D80" w:rsidRDefault="00CD15A3" w:rsidP="00CD15A3">
      <w:pPr>
        <w:rPr>
          <w:rStyle w:val="Emphasis"/>
          <w:sz w:val="18"/>
          <w:szCs w:val="18"/>
        </w:rPr>
      </w:pPr>
      <w:r w:rsidRPr="00CB7D80">
        <w:rPr>
          <w:rStyle w:val="Emphasis"/>
          <w:sz w:val="18"/>
          <w:szCs w:val="18"/>
        </w:rPr>
        <w:t>Elke politiezone heeft recht op een theoretische waarde Y aan onroerende goederen (terreinen niet inbegrepen) die als volgt wordt berekend:</w:t>
      </w:r>
    </w:p>
    <w:p w:rsidR="00CD15A3" w:rsidRPr="00CB7D80" w:rsidRDefault="00CD15A3" w:rsidP="00CD15A3">
      <w:pPr>
        <w:rPr>
          <w:rStyle w:val="Emphasis"/>
          <w:sz w:val="18"/>
          <w:szCs w:val="18"/>
        </w:rPr>
      </w:pPr>
      <w:r w:rsidRPr="00CB7D80">
        <w:rPr>
          <w:rStyle w:val="Emphasis"/>
          <w:sz w:val="18"/>
          <w:szCs w:val="18"/>
        </w:rPr>
        <w:t xml:space="preserve">Y = a x b x c </w:t>
      </w:r>
    </w:p>
    <w:p w:rsidR="00CD15A3" w:rsidRPr="00CB7D80" w:rsidRDefault="00CD15A3" w:rsidP="00CD15A3">
      <w:pPr>
        <w:rPr>
          <w:rStyle w:val="Emphasis"/>
          <w:sz w:val="18"/>
          <w:szCs w:val="18"/>
        </w:rPr>
      </w:pPr>
      <w:r w:rsidRPr="00CB7D80">
        <w:rPr>
          <w:rStyle w:val="Emphasis"/>
          <w:sz w:val="18"/>
          <w:szCs w:val="18"/>
        </w:rPr>
        <w:t>waarbij:</w:t>
      </w:r>
    </w:p>
    <w:p w:rsidR="00CD15A3" w:rsidRPr="00CB7D80" w:rsidRDefault="00CD15A3" w:rsidP="00CD15A3">
      <w:pPr>
        <w:rPr>
          <w:rStyle w:val="Emphasis"/>
          <w:sz w:val="18"/>
          <w:szCs w:val="18"/>
        </w:rPr>
      </w:pPr>
      <w:r w:rsidRPr="00CB7D80">
        <w:rPr>
          <w:rStyle w:val="Emphasis"/>
          <w:sz w:val="18"/>
          <w:szCs w:val="18"/>
        </w:rPr>
        <w:t>a = het aantal aan de politiezone overgedragen leden van het operationeel kader van de federale politie in uitvoering van de WGP</w:t>
      </w:r>
    </w:p>
    <w:p w:rsidR="00CD15A3" w:rsidRPr="00CB7D80" w:rsidRDefault="00CD15A3" w:rsidP="00CD15A3">
      <w:pPr>
        <w:rPr>
          <w:rStyle w:val="Emphasis"/>
          <w:sz w:val="18"/>
          <w:szCs w:val="18"/>
        </w:rPr>
      </w:pPr>
      <w:r w:rsidRPr="00CB7D80">
        <w:rPr>
          <w:rStyle w:val="Emphasis"/>
          <w:sz w:val="18"/>
          <w:szCs w:val="18"/>
        </w:rPr>
        <w:t>b = een oppervlakte van 25 m2 per overgedragen operationele federale ambtenaar</w:t>
      </w:r>
    </w:p>
    <w:p w:rsidR="00CD15A3" w:rsidRPr="00CB7D80" w:rsidRDefault="00CB7D80" w:rsidP="00CD15A3">
      <w:pPr>
        <w:rPr>
          <w:rStyle w:val="Emphasis"/>
          <w:sz w:val="18"/>
          <w:szCs w:val="18"/>
        </w:rPr>
      </w:pPr>
      <w:r>
        <w:rPr>
          <w:rStyle w:val="Emphasis"/>
          <w:sz w:val="18"/>
          <w:szCs w:val="18"/>
        </w:rPr>
        <w:t>c = euro 1.338,63 per m2</w:t>
      </w:r>
    </w:p>
    <w:p w:rsidR="00CD15A3" w:rsidRPr="00CB7D80" w:rsidRDefault="00CD15A3" w:rsidP="00CD15A3">
      <w:pPr>
        <w:rPr>
          <w:rStyle w:val="Emphasis"/>
          <w:sz w:val="18"/>
          <w:szCs w:val="18"/>
        </w:rPr>
      </w:pPr>
      <w:r w:rsidRPr="00CB7D80">
        <w:rPr>
          <w:rStyle w:val="Emphasis"/>
          <w:sz w:val="18"/>
          <w:szCs w:val="18"/>
        </w:rPr>
        <w:t>De federaal geschatte waarde X wordt vergelek</w:t>
      </w:r>
      <w:r w:rsidR="00CB7D80">
        <w:rPr>
          <w:rStyle w:val="Emphasis"/>
          <w:sz w:val="18"/>
          <w:szCs w:val="18"/>
        </w:rPr>
        <w:t>en met de theoretische waarde Y</w:t>
      </w:r>
    </w:p>
    <w:p w:rsidR="00CD15A3" w:rsidRPr="00CB7D80" w:rsidRDefault="00CD15A3" w:rsidP="00CD15A3">
      <w:pPr>
        <w:rPr>
          <w:rStyle w:val="Emphasis"/>
          <w:sz w:val="18"/>
          <w:szCs w:val="18"/>
        </w:rPr>
      </w:pPr>
      <w:r w:rsidRPr="00CB7D80">
        <w:rPr>
          <w:rStyle w:val="Emphasis"/>
          <w:sz w:val="18"/>
          <w:szCs w:val="18"/>
        </w:rPr>
        <w:t>▪</w:t>
      </w:r>
      <w:r w:rsidRPr="00CB7D80">
        <w:rPr>
          <w:rStyle w:val="Emphasis"/>
          <w:sz w:val="18"/>
          <w:szCs w:val="18"/>
        </w:rPr>
        <w:tab/>
        <w:t>▪Indien X &lt; Y dan betaalt het Fonds dat het correctiemechanisme beheert, jaarlijks, gedurende 20 jaar, aan de politi</w:t>
      </w:r>
      <w:r w:rsidR="00CB7D80">
        <w:rPr>
          <w:rStyle w:val="Emphasis"/>
          <w:sz w:val="18"/>
          <w:szCs w:val="18"/>
        </w:rPr>
        <w:t>ezone een bedrag C = (X – Y)/20</w:t>
      </w:r>
    </w:p>
    <w:p w:rsidR="00CD15A3" w:rsidRPr="00CB7D80" w:rsidRDefault="00CD15A3" w:rsidP="00CD15A3">
      <w:pPr>
        <w:rPr>
          <w:rStyle w:val="Emphasis"/>
          <w:sz w:val="18"/>
          <w:szCs w:val="18"/>
        </w:rPr>
      </w:pPr>
      <w:r w:rsidRPr="00CB7D80">
        <w:rPr>
          <w:rStyle w:val="Emphasis"/>
          <w:sz w:val="18"/>
          <w:szCs w:val="18"/>
        </w:rPr>
        <w:t>▪</w:t>
      </w:r>
      <w:r w:rsidRPr="00CB7D80">
        <w:rPr>
          <w:rStyle w:val="Emphasis"/>
          <w:sz w:val="18"/>
          <w:szCs w:val="18"/>
        </w:rPr>
        <w:tab/>
        <w:t xml:space="preserve">Indien X &gt; Y dan betaalt de politiezone jaarlijks, gedurende 20 jaar, aan het Fonds dat het correctiemechanisme beheert een bedrag C = (X </w:t>
      </w:r>
      <w:r w:rsidR="00CB7D80">
        <w:rPr>
          <w:rStyle w:val="Emphasis"/>
          <w:sz w:val="18"/>
          <w:szCs w:val="18"/>
        </w:rPr>
        <w:t>– Y)/20</w:t>
      </w:r>
    </w:p>
    <w:p w:rsidR="00CD15A3" w:rsidRPr="00CB7D80" w:rsidRDefault="00CD15A3" w:rsidP="00CD15A3">
      <w:pPr>
        <w:rPr>
          <w:rStyle w:val="Emphasis"/>
          <w:sz w:val="18"/>
          <w:szCs w:val="18"/>
        </w:rPr>
      </w:pPr>
      <w:r w:rsidRPr="00CB7D80">
        <w:rPr>
          <w:rStyle w:val="Emphasis"/>
          <w:sz w:val="18"/>
          <w:szCs w:val="18"/>
        </w:rPr>
        <w:t>▪</w:t>
      </w:r>
      <w:r w:rsidRPr="00CB7D80">
        <w:rPr>
          <w:rStyle w:val="Emphasis"/>
          <w:sz w:val="18"/>
          <w:szCs w:val="18"/>
        </w:rPr>
        <w:tab/>
        <w:t>Ingeval van afstand van de eigendom</w:t>
      </w:r>
      <w:r w:rsidR="00CB7D80">
        <w:rPr>
          <w:rStyle w:val="Emphasis"/>
          <w:sz w:val="18"/>
          <w:szCs w:val="18"/>
        </w:rPr>
        <w:t>soverdracht door de politiezone</w:t>
      </w:r>
    </w:p>
    <w:p w:rsidR="00CD15A3" w:rsidRPr="00CB7D80" w:rsidRDefault="00CD15A3" w:rsidP="00CD15A3">
      <w:pPr>
        <w:rPr>
          <w:rStyle w:val="Emphasis"/>
          <w:sz w:val="18"/>
          <w:szCs w:val="18"/>
        </w:rPr>
      </w:pPr>
      <w:r w:rsidRPr="00CB7D80">
        <w:rPr>
          <w:rStyle w:val="Emphasis"/>
          <w:sz w:val="18"/>
          <w:szCs w:val="18"/>
        </w:rPr>
        <w:t>Ingeval van afstand van de eigendomsoverdracht betaalt het op te richten Fonds dat het correctiemechanisme beheert jaarlijks gedurende 20 jaar aan de politiezone een bedrag C = Y/20.</w:t>
      </w:r>
    </w:p>
    <w:p w:rsidR="00E76851" w:rsidRPr="00E76851" w:rsidRDefault="00E76851" w:rsidP="00E76851">
      <w:pPr>
        <w:pStyle w:val="Heading1"/>
        <w:rPr>
          <w:rStyle w:val="Emphasis"/>
          <w:rFonts w:asciiTheme="minorHAnsi" w:hAnsiTheme="minorHAnsi"/>
          <w:b w:val="0"/>
          <w:i w:val="0"/>
          <w:szCs w:val="18"/>
        </w:rPr>
      </w:pPr>
      <w:r w:rsidRPr="00E76851">
        <w:rPr>
          <w:rStyle w:val="Emphasis"/>
          <w:rFonts w:asciiTheme="minorHAnsi" w:hAnsiTheme="minorHAnsi"/>
          <w:b w:val="0"/>
          <w:i w:val="0"/>
          <w:szCs w:val="18"/>
        </w:rPr>
        <w:t>Een bijkomende federale toelage: verkeersveiligheid</w:t>
      </w:r>
    </w:p>
    <w:p w:rsidR="00E76851" w:rsidRPr="007C5813" w:rsidRDefault="00E76851" w:rsidP="00E76851">
      <w:pPr>
        <w:rPr>
          <w:rStyle w:val="Emphasis"/>
          <w:sz w:val="18"/>
          <w:szCs w:val="18"/>
        </w:rPr>
      </w:pPr>
      <w:r w:rsidRPr="007C5813">
        <w:rPr>
          <w:rStyle w:val="Emphasis"/>
          <w:sz w:val="18"/>
          <w:szCs w:val="18"/>
        </w:rPr>
        <w:t xml:space="preserve">Het verkeersveiligheidsfonds moet de politiezones en de federale politie in staat stellen te genieten van een financiële steun voor de acties die ze ondernemen op het vlak van de verkeersveiligheid. </w:t>
      </w:r>
    </w:p>
    <w:p w:rsidR="00E76851" w:rsidRPr="007C5813" w:rsidRDefault="00E76851" w:rsidP="00E76851">
      <w:pPr>
        <w:rPr>
          <w:rStyle w:val="Emphasis"/>
          <w:sz w:val="18"/>
          <w:szCs w:val="18"/>
        </w:rPr>
      </w:pPr>
      <w:r w:rsidRPr="007C5813">
        <w:rPr>
          <w:rStyle w:val="Emphasis"/>
          <w:sz w:val="18"/>
          <w:szCs w:val="18"/>
        </w:rPr>
        <w:t>Het verkeersveiligheidfonds bestaat uit de ontvangsten van de penale geldboeten inzake verkeer, van de minnelijke schikkingen en van de onmiddellijke inningen, verminderd met : - het bedrag van deze ontvangsten in 2002. Dit bedrag wordt jaarlijks geïndexeerd.</w:t>
      </w:r>
    </w:p>
    <w:p w:rsidR="00E76851" w:rsidRPr="007C5813" w:rsidRDefault="00E76851" w:rsidP="00E76851">
      <w:pPr>
        <w:rPr>
          <w:rStyle w:val="Emphasis"/>
          <w:sz w:val="18"/>
          <w:szCs w:val="18"/>
        </w:rPr>
      </w:pPr>
      <w:r w:rsidRPr="007C5813">
        <w:rPr>
          <w:rStyle w:val="Emphasis"/>
          <w:sz w:val="18"/>
          <w:szCs w:val="18"/>
        </w:rPr>
        <w:t>Het bedrag dat wordt toegekend aan de federale politie en de politiezones wordt als volgt verdeeld:</w:t>
      </w:r>
    </w:p>
    <w:p w:rsidR="00E76851" w:rsidRPr="007C5813" w:rsidRDefault="007C5813" w:rsidP="00E76851">
      <w:pPr>
        <w:rPr>
          <w:rStyle w:val="Emphasis"/>
          <w:sz w:val="18"/>
          <w:szCs w:val="18"/>
        </w:rPr>
      </w:pPr>
      <w:r w:rsidRPr="007C5813">
        <w:rPr>
          <w:rStyle w:val="Emphasis"/>
          <w:sz w:val="18"/>
          <w:szCs w:val="18"/>
        </w:rPr>
        <w:t>D</w:t>
      </w:r>
      <w:r w:rsidR="00E76851" w:rsidRPr="007C5813">
        <w:rPr>
          <w:rStyle w:val="Emphasis"/>
          <w:sz w:val="18"/>
          <w:szCs w:val="18"/>
        </w:rPr>
        <w:t>e eerste schijf komt overeen met de bedragen (jaarlijks geïndexeerd) die aan elke politiezone en aan de federale politie worden toegewezen en die zij in 2007 hebben ontvangen. Is dit bedrag lager dan het bedrag van 2007 dan wordt het evenredig verdeeld volgens de</w:t>
      </w:r>
      <w:r w:rsidRPr="007C5813">
        <w:rPr>
          <w:rStyle w:val="Emphasis"/>
          <w:sz w:val="18"/>
          <w:szCs w:val="18"/>
        </w:rPr>
        <w:t xml:space="preserve"> toegewezen middelen van 2007. </w:t>
      </w:r>
    </w:p>
    <w:p w:rsidR="00E76851" w:rsidRPr="007C5813" w:rsidRDefault="007C5813" w:rsidP="00E76851">
      <w:pPr>
        <w:rPr>
          <w:rStyle w:val="Emphasis"/>
          <w:sz w:val="18"/>
          <w:szCs w:val="18"/>
        </w:rPr>
      </w:pPr>
      <w:r w:rsidRPr="007C5813">
        <w:rPr>
          <w:rStyle w:val="Emphasis"/>
          <w:sz w:val="18"/>
          <w:szCs w:val="18"/>
        </w:rPr>
        <w:t>D</w:t>
      </w:r>
      <w:r w:rsidR="00E76851" w:rsidRPr="007C5813">
        <w:rPr>
          <w:rStyle w:val="Emphasis"/>
          <w:sz w:val="18"/>
          <w:szCs w:val="18"/>
        </w:rPr>
        <w:t>e tweede schijf komt overeen met de eventuele meerontvangsten</w:t>
      </w:r>
      <w:r w:rsidRPr="007C5813">
        <w:rPr>
          <w:rStyle w:val="Emphasis"/>
          <w:sz w:val="18"/>
          <w:szCs w:val="18"/>
        </w:rPr>
        <w:t xml:space="preserve">  van het jaar N-5 (dus voor 2023 ontvangsten uit het jaar 2018)</w:t>
      </w:r>
      <w:r w:rsidR="00E76851" w:rsidRPr="007C5813">
        <w:rPr>
          <w:rStyle w:val="Emphasis"/>
          <w:sz w:val="18"/>
          <w:szCs w:val="18"/>
        </w:rPr>
        <w:t xml:space="preserve"> ten opzichte van de eerste. Daarbij ontvangt de federale politie 5 % van de meerontvangsten. Het overige deel dat voor de lokale politiezones is bestemd wordt eerst verdeeld onder de gewesten op basis van de lokalisering van de vaststelling van de overtredingen van de wet betreffende de politie over het wegverkeer en haar uitvoeringsbesluiten. Nadien ontvangt iedere politiezone een deel op basis van:</w:t>
      </w:r>
    </w:p>
    <w:p w:rsidR="00E76851" w:rsidRPr="007C5813" w:rsidRDefault="007C5813" w:rsidP="007C5813">
      <w:pPr>
        <w:pStyle w:val="ListParagraph"/>
        <w:numPr>
          <w:ilvl w:val="0"/>
          <w:numId w:val="18"/>
        </w:numPr>
        <w:rPr>
          <w:rStyle w:val="Emphasis"/>
          <w:sz w:val="18"/>
          <w:szCs w:val="18"/>
        </w:rPr>
      </w:pPr>
      <w:r w:rsidRPr="007C5813">
        <w:rPr>
          <w:rStyle w:val="Emphasis"/>
          <w:sz w:val="18"/>
          <w:szCs w:val="18"/>
        </w:rPr>
        <w:lastRenderedPageBreak/>
        <w:t>D</w:t>
      </w:r>
      <w:r w:rsidR="00E76851" w:rsidRPr="007C5813">
        <w:rPr>
          <w:rStyle w:val="Emphasis"/>
          <w:sz w:val="18"/>
          <w:szCs w:val="18"/>
        </w:rPr>
        <w:t>e categorisering van de lokale politiezones in vijf groepen naargelang van het organiek politiekader;</w:t>
      </w:r>
    </w:p>
    <w:p w:rsidR="00E76851" w:rsidRPr="007C5813" w:rsidRDefault="007C5813" w:rsidP="007C5813">
      <w:pPr>
        <w:pStyle w:val="ListParagraph"/>
        <w:numPr>
          <w:ilvl w:val="0"/>
          <w:numId w:val="18"/>
        </w:numPr>
        <w:rPr>
          <w:rStyle w:val="Emphasis"/>
          <w:sz w:val="18"/>
          <w:szCs w:val="18"/>
        </w:rPr>
      </w:pPr>
      <w:r w:rsidRPr="007C5813">
        <w:rPr>
          <w:rStyle w:val="Emphasis"/>
          <w:sz w:val="18"/>
          <w:szCs w:val="18"/>
        </w:rPr>
        <w:t>D</w:t>
      </w:r>
      <w:r w:rsidR="00E76851" w:rsidRPr="007C5813">
        <w:rPr>
          <w:rStyle w:val="Emphasis"/>
          <w:sz w:val="18"/>
          <w:szCs w:val="18"/>
        </w:rPr>
        <w:t>e daling van het aantal verkeersslachtoffers en/of verkeersongevallen met gekwetsten of doden op de wegen die onder de bevoegdheid van de lokale politiezone staan;</w:t>
      </w:r>
    </w:p>
    <w:p w:rsidR="007C5813" w:rsidRDefault="007C5813" w:rsidP="007C5813">
      <w:pPr>
        <w:pStyle w:val="ListParagraph"/>
        <w:numPr>
          <w:ilvl w:val="0"/>
          <w:numId w:val="18"/>
        </w:numPr>
        <w:rPr>
          <w:rStyle w:val="Emphasis"/>
          <w:sz w:val="18"/>
          <w:szCs w:val="18"/>
        </w:rPr>
      </w:pPr>
      <w:r w:rsidRPr="007C5813">
        <w:rPr>
          <w:rStyle w:val="Emphasis"/>
          <w:sz w:val="18"/>
          <w:szCs w:val="18"/>
        </w:rPr>
        <w:t>H</w:t>
      </w:r>
      <w:r w:rsidR="00E76851" w:rsidRPr="007C5813">
        <w:rPr>
          <w:rStyle w:val="Emphasis"/>
          <w:sz w:val="18"/>
          <w:szCs w:val="18"/>
        </w:rPr>
        <w:t xml:space="preserve">et aantal kilometers van de wegen waarvoor de lokale politiezone bevoegd is. </w:t>
      </w:r>
    </w:p>
    <w:p w:rsidR="007C5813" w:rsidRPr="007C5813" w:rsidRDefault="007C5813" w:rsidP="007C5813">
      <w:pPr>
        <w:pStyle w:val="Heading1"/>
        <w:rPr>
          <w:rStyle w:val="Emphasis"/>
          <w:i w:val="0"/>
          <w:iCs w:val="0"/>
          <w:color w:val="000000" w:themeColor="text1"/>
        </w:rPr>
      </w:pPr>
      <w:r w:rsidRPr="007C5813">
        <w:rPr>
          <w:rStyle w:val="Emphasis"/>
          <w:i w:val="0"/>
          <w:iCs w:val="0"/>
          <w:color w:val="000000" w:themeColor="text1"/>
        </w:rPr>
        <w:t>Subsidie NAVAP</w:t>
      </w:r>
    </w:p>
    <w:p w:rsidR="00A90E01" w:rsidRPr="00A90E01" w:rsidRDefault="00A90E01" w:rsidP="00A90E01">
      <w:pPr>
        <w:spacing w:after="0" w:line="260" w:lineRule="atLeast"/>
        <w:jc w:val="both"/>
        <w:rPr>
          <w:rStyle w:val="Emphasis"/>
          <w:sz w:val="18"/>
          <w:szCs w:val="18"/>
        </w:rPr>
      </w:pPr>
      <w:r w:rsidRPr="00A90E01">
        <w:rPr>
          <w:rStyle w:val="Emphasis"/>
          <w:sz w:val="18"/>
          <w:szCs w:val="18"/>
        </w:rPr>
        <w:t xml:space="preserve">Om toe te laten de meerkost op te vangen die te wijten is aan een verlenging van de loopbaan van personeelsleden van het operationeel kader, besloot de Ministerraad om te voorzien in een financieringsmechanisme. Deze financiële steun, in de vorm van een subsidie, werd toegekend aan de politiezones voor elk van hun personeelsleden die aan de voorwaarden voldoen van art. XII.XIII.1 RPPol. </w:t>
      </w:r>
    </w:p>
    <w:p w:rsidR="00A90E01" w:rsidRPr="00A90E01" w:rsidRDefault="00A90E01" w:rsidP="00A90E01">
      <w:pPr>
        <w:spacing w:after="0" w:line="260" w:lineRule="atLeast"/>
        <w:jc w:val="both"/>
        <w:rPr>
          <w:rStyle w:val="Emphasis"/>
          <w:sz w:val="18"/>
          <w:szCs w:val="18"/>
        </w:rPr>
      </w:pPr>
    </w:p>
    <w:p w:rsidR="00A90E01" w:rsidRPr="00A90E01" w:rsidRDefault="00A90E01" w:rsidP="00A90E01">
      <w:pPr>
        <w:spacing w:after="0" w:line="260" w:lineRule="atLeast"/>
        <w:jc w:val="both"/>
        <w:rPr>
          <w:rStyle w:val="Emphasis"/>
          <w:sz w:val="18"/>
          <w:szCs w:val="18"/>
        </w:rPr>
      </w:pPr>
      <w:r w:rsidRPr="00A90E01">
        <w:rPr>
          <w:rStyle w:val="Emphasis"/>
          <w:sz w:val="18"/>
          <w:szCs w:val="18"/>
        </w:rPr>
        <w:t xml:space="preserve">Het betreft personeelsleden van het operationeel kader die vóór 10 juli 2014 een preferentiële vervroegde pensioenleeftijd van 54, 56 of 58 jaar genoten en die voldoen aan bijkomende voorwaarden. </w:t>
      </w:r>
    </w:p>
    <w:p w:rsidR="00A90E01" w:rsidRPr="00A90E01" w:rsidRDefault="00A90E01" w:rsidP="00A90E01">
      <w:pPr>
        <w:spacing w:after="0" w:line="260" w:lineRule="atLeast"/>
        <w:jc w:val="both"/>
        <w:rPr>
          <w:rStyle w:val="Emphasis"/>
          <w:sz w:val="18"/>
          <w:szCs w:val="18"/>
          <w:highlight w:val="cyan"/>
        </w:rPr>
      </w:pPr>
    </w:p>
    <w:p w:rsidR="007C5813" w:rsidRDefault="00A90E01" w:rsidP="00BA3147">
      <w:pPr>
        <w:spacing w:after="0" w:line="260" w:lineRule="atLeast"/>
        <w:jc w:val="both"/>
        <w:rPr>
          <w:rStyle w:val="Emphasis"/>
          <w:sz w:val="18"/>
          <w:szCs w:val="18"/>
        </w:rPr>
      </w:pPr>
      <w:r w:rsidRPr="00A90E01">
        <w:rPr>
          <w:rStyle w:val="Emphasis"/>
          <w:sz w:val="18"/>
          <w:szCs w:val="18"/>
        </w:rPr>
        <w:t xml:space="preserve">De subsidie bestaat enerzijds uit de reële kost (met inbegrip van vakantiegeld en eindejaarstoelage) van de personeelsleden die genieten van de non-activiteit voorafgaand aan de pensionering (NAVAP) en anderzijds uit de reële kost (met inbegrip van vakantiegeld en eindejaarstoelage maar met uitsluiting van andere toelagen en vergoedingen) van de personeelsleden die aan de voorwaarden voldoen om te kunnen genieten van de non-activiteit maar die ervoor kiezen om langer te werken.   </w:t>
      </w:r>
    </w:p>
    <w:p w:rsidR="002A0314" w:rsidRDefault="002A0314" w:rsidP="00BA3147">
      <w:pPr>
        <w:spacing w:after="0" w:line="260" w:lineRule="atLeast"/>
        <w:jc w:val="both"/>
        <w:rPr>
          <w:rStyle w:val="Emphasis"/>
          <w:sz w:val="18"/>
          <w:szCs w:val="18"/>
        </w:rPr>
      </w:pPr>
    </w:p>
    <w:p w:rsidR="002A0314" w:rsidRDefault="002A0314" w:rsidP="00BA3147">
      <w:pPr>
        <w:spacing w:after="0" w:line="260" w:lineRule="atLeast"/>
        <w:jc w:val="both"/>
        <w:rPr>
          <w:rStyle w:val="Emphasis"/>
          <w:sz w:val="18"/>
          <w:szCs w:val="18"/>
        </w:rPr>
      </w:pPr>
    </w:p>
    <w:p w:rsidR="002A0314" w:rsidRDefault="002A0314" w:rsidP="00BA3147">
      <w:pPr>
        <w:spacing w:after="0" w:line="260" w:lineRule="atLeast"/>
        <w:jc w:val="both"/>
        <w:rPr>
          <w:rStyle w:val="Emphasis"/>
          <w:sz w:val="18"/>
          <w:szCs w:val="18"/>
        </w:rPr>
      </w:pPr>
    </w:p>
    <w:p w:rsidR="002A0314" w:rsidRDefault="002A0314" w:rsidP="00BA3147">
      <w:pPr>
        <w:spacing w:after="0" w:line="260" w:lineRule="atLeast"/>
        <w:jc w:val="both"/>
        <w:rPr>
          <w:rStyle w:val="Emphasis"/>
          <w:sz w:val="18"/>
          <w:szCs w:val="18"/>
        </w:rPr>
      </w:pPr>
    </w:p>
    <w:p w:rsidR="002A0314" w:rsidRPr="00BA3147" w:rsidRDefault="002A0314" w:rsidP="00BA3147">
      <w:pPr>
        <w:spacing w:after="0" w:line="260" w:lineRule="atLeast"/>
        <w:jc w:val="both"/>
        <w:rPr>
          <w:i/>
          <w:iCs/>
          <w:sz w:val="18"/>
          <w:szCs w:val="18"/>
        </w:rPr>
      </w:pPr>
    </w:p>
    <w:sectPr w:rsidR="002A0314" w:rsidRPr="00BA31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352" w:rsidRDefault="00913352" w:rsidP="001862F9">
      <w:pPr>
        <w:spacing w:after="0" w:line="240" w:lineRule="auto"/>
      </w:pPr>
      <w:r>
        <w:separator/>
      </w:r>
    </w:p>
  </w:endnote>
  <w:endnote w:type="continuationSeparator" w:id="0">
    <w:p w:rsidR="00913352" w:rsidRDefault="00913352" w:rsidP="0018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352" w:rsidRDefault="00913352" w:rsidP="001862F9">
      <w:pPr>
        <w:spacing w:after="0" w:line="240" w:lineRule="auto"/>
      </w:pPr>
      <w:r>
        <w:separator/>
      </w:r>
    </w:p>
  </w:footnote>
  <w:footnote w:type="continuationSeparator" w:id="0">
    <w:p w:rsidR="00913352" w:rsidRDefault="00913352" w:rsidP="00186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2595"/>
    <w:multiLevelType w:val="hybridMultilevel"/>
    <w:tmpl w:val="0B10D8AA"/>
    <w:lvl w:ilvl="0" w:tplc="080C0017">
      <w:start w:val="1"/>
      <w:numFmt w:val="lowerLetter"/>
      <w:lvlText w:val="%1)"/>
      <w:lvlJc w:val="left"/>
      <w:pPr>
        <w:tabs>
          <w:tab w:val="num" w:pos="720"/>
        </w:tabs>
        <w:ind w:left="720" w:hanging="360"/>
      </w:pPr>
      <w:rPr>
        <w:rFonts w:hint="default"/>
      </w:rPr>
    </w:lvl>
    <w:lvl w:ilvl="1" w:tplc="F982ADCE">
      <w:start w:val="1"/>
      <w:numFmt w:val="decimal"/>
      <w:lvlText w:val="(%2)"/>
      <w:lvlJc w:val="left"/>
      <w:pPr>
        <w:tabs>
          <w:tab w:val="num" w:pos="644"/>
        </w:tabs>
        <w:ind w:left="644"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C6FDD"/>
    <w:multiLevelType w:val="hybridMultilevel"/>
    <w:tmpl w:val="60EE06E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11A692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8BC18FE"/>
    <w:multiLevelType w:val="hybridMultilevel"/>
    <w:tmpl w:val="1EC6F5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FA10291"/>
    <w:multiLevelType w:val="hybridMultilevel"/>
    <w:tmpl w:val="6BE0DF4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3F851689"/>
    <w:multiLevelType w:val="hybridMultilevel"/>
    <w:tmpl w:val="493AB6BC"/>
    <w:lvl w:ilvl="0" w:tplc="0813000F">
      <w:start w:val="1"/>
      <w:numFmt w:val="decimal"/>
      <w:lvlText w:val="%1."/>
      <w:lvlJc w:val="left"/>
      <w:pPr>
        <w:ind w:left="643"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AD65BF"/>
    <w:multiLevelType w:val="hybridMultilevel"/>
    <w:tmpl w:val="3A7E40A4"/>
    <w:lvl w:ilvl="0" w:tplc="E486A63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300629F"/>
    <w:multiLevelType w:val="hybridMultilevel"/>
    <w:tmpl w:val="529C94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05C0646"/>
    <w:multiLevelType w:val="hybridMultilevel"/>
    <w:tmpl w:val="6BE0DF46"/>
    <w:lvl w:ilvl="0" w:tplc="08130011">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71371AEA"/>
    <w:multiLevelType w:val="hybridMultilevel"/>
    <w:tmpl w:val="EF40F360"/>
    <w:lvl w:ilvl="0" w:tplc="A050B824">
      <w:start w:val="1"/>
      <w:numFmt w:val="lowerLetter"/>
      <w:lvlText w:val="%1)"/>
      <w:lvlJc w:val="left"/>
      <w:pPr>
        <w:ind w:left="1800" w:hanging="360"/>
      </w:pPr>
      <w:rPr>
        <w:rFonts w:hint="default"/>
      </w:rPr>
    </w:lvl>
    <w:lvl w:ilvl="1" w:tplc="08130019" w:tentative="1">
      <w:start w:val="1"/>
      <w:numFmt w:val="lowerLetter"/>
      <w:lvlText w:val="%2."/>
      <w:lvlJc w:val="left"/>
      <w:pPr>
        <w:ind w:left="2520" w:hanging="360"/>
      </w:pPr>
    </w:lvl>
    <w:lvl w:ilvl="2" w:tplc="0813001B" w:tentative="1">
      <w:start w:val="1"/>
      <w:numFmt w:val="lowerRoman"/>
      <w:lvlText w:val="%3."/>
      <w:lvlJc w:val="right"/>
      <w:pPr>
        <w:ind w:left="3240" w:hanging="180"/>
      </w:pPr>
    </w:lvl>
    <w:lvl w:ilvl="3" w:tplc="0813000F" w:tentative="1">
      <w:start w:val="1"/>
      <w:numFmt w:val="decimal"/>
      <w:lvlText w:val="%4."/>
      <w:lvlJc w:val="left"/>
      <w:pPr>
        <w:ind w:left="3960" w:hanging="360"/>
      </w:pPr>
    </w:lvl>
    <w:lvl w:ilvl="4" w:tplc="08130019" w:tentative="1">
      <w:start w:val="1"/>
      <w:numFmt w:val="lowerLetter"/>
      <w:lvlText w:val="%5."/>
      <w:lvlJc w:val="left"/>
      <w:pPr>
        <w:ind w:left="4680" w:hanging="360"/>
      </w:pPr>
    </w:lvl>
    <w:lvl w:ilvl="5" w:tplc="0813001B" w:tentative="1">
      <w:start w:val="1"/>
      <w:numFmt w:val="lowerRoman"/>
      <w:lvlText w:val="%6."/>
      <w:lvlJc w:val="right"/>
      <w:pPr>
        <w:ind w:left="5400" w:hanging="180"/>
      </w:pPr>
    </w:lvl>
    <w:lvl w:ilvl="6" w:tplc="0813000F" w:tentative="1">
      <w:start w:val="1"/>
      <w:numFmt w:val="decimal"/>
      <w:lvlText w:val="%7."/>
      <w:lvlJc w:val="left"/>
      <w:pPr>
        <w:ind w:left="6120" w:hanging="360"/>
      </w:pPr>
    </w:lvl>
    <w:lvl w:ilvl="7" w:tplc="08130019" w:tentative="1">
      <w:start w:val="1"/>
      <w:numFmt w:val="lowerLetter"/>
      <w:lvlText w:val="%8."/>
      <w:lvlJc w:val="left"/>
      <w:pPr>
        <w:ind w:left="6840" w:hanging="360"/>
      </w:pPr>
    </w:lvl>
    <w:lvl w:ilvl="8" w:tplc="0813001B" w:tentative="1">
      <w:start w:val="1"/>
      <w:numFmt w:val="lowerRoman"/>
      <w:lvlText w:val="%9."/>
      <w:lvlJc w:val="right"/>
      <w:pPr>
        <w:ind w:left="7560" w:hanging="180"/>
      </w:pPr>
    </w:lvl>
  </w:abstractNum>
  <w:num w:numId="1">
    <w:abstractNumId w:val="8"/>
  </w:num>
  <w:num w:numId="2">
    <w:abstractNumId w:val="0"/>
  </w:num>
  <w:num w:numId="3">
    <w:abstractNumId w:val="6"/>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5"/>
  </w:num>
  <w:num w:numId="15">
    <w:abstractNumId w:val="7"/>
  </w:num>
  <w:num w:numId="16">
    <w:abstractNumId w:val="4"/>
  </w:num>
  <w:num w:numId="17">
    <w:abstractNumId w:val="1"/>
  </w:num>
  <w:num w:numId="18">
    <w:abstractNumId w:val="3"/>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F9"/>
    <w:rsid w:val="00130CB6"/>
    <w:rsid w:val="001862F9"/>
    <w:rsid w:val="001D7C58"/>
    <w:rsid w:val="002161FC"/>
    <w:rsid w:val="002A0314"/>
    <w:rsid w:val="0031253E"/>
    <w:rsid w:val="00350614"/>
    <w:rsid w:val="005C18B0"/>
    <w:rsid w:val="006C77B0"/>
    <w:rsid w:val="006E34C6"/>
    <w:rsid w:val="007066F9"/>
    <w:rsid w:val="007C5813"/>
    <w:rsid w:val="008B6E44"/>
    <w:rsid w:val="00913352"/>
    <w:rsid w:val="009374B5"/>
    <w:rsid w:val="00983942"/>
    <w:rsid w:val="009D3E49"/>
    <w:rsid w:val="00A16DF1"/>
    <w:rsid w:val="00A90E01"/>
    <w:rsid w:val="00B82AE1"/>
    <w:rsid w:val="00BA3147"/>
    <w:rsid w:val="00BA5998"/>
    <w:rsid w:val="00C23687"/>
    <w:rsid w:val="00CB7D80"/>
    <w:rsid w:val="00CD15A3"/>
    <w:rsid w:val="00DB6384"/>
    <w:rsid w:val="00E76851"/>
    <w:rsid w:val="00F9254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7ADA"/>
  <w15:chartTrackingRefBased/>
  <w15:docId w15:val="{C58D9CCD-645F-4C1C-9F60-71ACA5B5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E49"/>
  </w:style>
  <w:style w:type="paragraph" w:styleId="Heading1">
    <w:name w:val="heading 1"/>
    <w:basedOn w:val="Normal"/>
    <w:next w:val="Normal"/>
    <w:link w:val="Heading1Char"/>
    <w:uiPriority w:val="9"/>
    <w:qFormat/>
    <w:rsid w:val="009D3E49"/>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rsid w:val="009D3E49"/>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D3E49"/>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D3E49"/>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D3E49"/>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D3E49"/>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9D3E49"/>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3E49"/>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D3E49"/>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66F9"/>
    <w:pPr>
      <w:spacing w:before="57" w:after="57" w:line="230" w:lineRule="atLeast"/>
      <w:jc w:val="both"/>
    </w:pPr>
    <w:rPr>
      <w:rFonts w:ascii="Arial" w:eastAsia="Times New Roman" w:hAnsi="Arial" w:cs="Times New Roman"/>
      <w:sz w:val="18"/>
      <w:szCs w:val="24"/>
      <w:lang w:eastAsia="nl-NL"/>
    </w:rPr>
  </w:style>
  <w:style w:type="character" w:customStyle="1" w:styleId="BodyTextChar">
    <w:name w:val="Body Text Char"/>
    <w:basedOn w:val="DefaultParagraphFont"/>
    <w:link w:val="BodyText"/>
    <w:rsid w:val="007066F9"/>
    <w:rPr>
      <w:rFonts w:ascii="Arial" w:eastAsia="Times New Roman" w:hAnsi="Arial" w:cs="Times New Roman"/>
      <w:sz w:val="18"/>
      <w:szCs w:val="24"/>
      <w:lang w:eastAsia="nl-NL"/>
    </w:rPr>
  </w:style>
  <w:style w:type="paragraph" w:styleId="FootnoteText">
    <w:name w:val="footnote text"/>
    <w:basedOn w:val="Normal"/>
    <w:link w:val="FootnoteTextChar"/>
    <w:rsid w:val="001862F9"/>
    <w:pPr>
      <w:spacing w:after="0" w:line="180" w:lineRule="atLeast"/>
      <w:jc w:val="both"/>
    </w:pPr>
    <w:rPr>
      <w:rFonts w:ascii="Arial" w:eastAsia="Times New Roman" w:hAnsi="Arial" w:cs="Times New Roman"/>
      <w:sz w:val="14"/>
      <w:szCs w:val="20"/>
      <w:lang w:eastAsia="nl-NL"/>
    </w:rPr>
  </w:style>
  <w:style w:type="character" w:customStyle="1" w:styleId="FootnoteTextChar">
    <w:name w:val="Footnote Text Char"/>
    <w:basedOn w:val="DefaultParagraphFont"/>
    <w:link w:val="FootnoteText"/>
    <w:rsid w:val="001862F9"/>
    <w:rPr>
      <w:rFonts w:ascii="Arial" w:eastAsia="Times New Roman" w:hAnsi="Arial" w:cs="Times New Roman"/>
      <w:sz w:val="14"/>
      <w:szCs w:val="20"/>
      <w:lang w:eastAsia="nl-NL"/>
    </w:rPr>
  </w:style>
  <w:style w:type="character" w:styleId="FootnoteReference">
    <w:name w:val="footnote reference"/>
    <w:semiHidden/>
    <w:rsid w:val="001862F9"/>
    <w:rPr>
      <w:vertAlign w:val="superscript"/>
    </w:rPr>
  </w:style>
  <w:style w:type="paragraph" w:customStyle="1" w:styleId="Default">
    <w:name w:val="Default"/>
    <w:rsid w:val="001862F9"/>
    <w:pPr>
      <w:autoSpaceDE w:val="0"/>
      <w:autoSpaceDN w:val="0"/>
      <w:adjustRightInd w:val="0"/>
      <w:spacing w:after="0" w:line="240" w:lineRule="auto"/>
    </w:pPr>
    <w:rPr>
      <w:rFonts w:ascii="Tahoma" w:eastAsia="Times New Roman" w:hAnsi="Tahoma" w:cs="Tahoma"/>
      <w:color w:val="000000"/>
      <w:sz w:val="24"/>
      <w:szCs w:val="24"/>
      <w:lang w:val="fr-BE"/>
    </w:rPr>
  </w:style>
  <w:style w:type="paragraph" w:styleId="ListParagraph">
    <w:name w:val="List Paragraph"/>
    <w:basedOn w:val="Normal"/>
    <w:uiPriority w:val="34"/>
    <w:qFormat/>
    <w:rsid w:val="0031253E"/>
    <w:pPr>
      <w:ind w:left="720"/>
      <w:contextualSpacing/>
    </w:pPr>
  </w:style>
  <w:style w:type="character" w:customStyle="1" w:styleId="Heading1Char">
    <w:name w:val="Heading 1 Char"/>
    <w:basedOn w:val="DefaultParagraphFont"/>
    <w:link w:val="Heading1"/>
    <w:uiPriority w:val="9"/>
    <w:rsid w:val="009D3E4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sid w:val="009D3E4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sid w:val="009D3E4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D3E49"/>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D3E49"/>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9D3E49"/>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9D3E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3E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D3E4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3E4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D3E49"/>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D3E49"/>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9D3E49"/>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D3E49"/>
    <w:rPr>
      <w:color w:val="5A5A5A" w:themeColor="text1" w:themeTint="A5"/>
      <w:spacing w:val="10"/>
    </w:rPr>
  </w:style>
  <w:style w:type="character" w:styleId="Strong">
    <w:name w:val="Strong"/>
    <w:basedOn w:val="DefaultParagraphFont"/>
    <w:uiPriority w:val="22"/>
    <w:qFormat/>
    <w:rsid w:val="009D3E49"/>
    <w:rPr>
      <w:b/>
      <w:bCs/>
      <w:color w:val="000000" w:themeColor="text1"/>
    </w:rPr>
  </w:style>
  <w:style w:type="character" w:styleId="Emphasis">
    <w:name w:val="Emphasis"/>
    <w:basedOn w:val="DefaultParagraphFont"/>
    <w:uiPriority w:val="20"/>
    <w:qFormat/>
    <w:rsid w:val="009D3E49"/>
    <w:rPr>
      <w:i/>
      <w:iCs/>
      <w:color w:val="auto"/>
    </w:rPr>
  </w:style>
  <w:style w:type="paragraph" w:styleId="NoSpacing">
    <w:name w:val="No Spacing"/>
    <w:uiPriority w:val="1"/>
    <w:qFormat/>
    <w:rsid w:val="009D3E49"/>
    <w:pPr>
      <w:spacing w:after="0" w:line="240" w:lineRule="auto"/>
    </w:pPr>
  </w:style>
  <w:style w:type="paragraph" w:styleId="Quote">
    <w:name w:val="Quote"/>
    <w:basedOn w:val="Normal"/>
    <w:next w:val="Normal"/>
    <w:link w:val="QuoteChar"/>
    <w:uiPriority w:val="29"/>
    <w:qFormat/>
    <w:rsid w:val="009D3E49"/>
    <w:pPr>
      <w:spacing w:before="160"/>
      <w:ind w:left="720" w:right="720"/>
    </w:pPr>
    <w:rPr>
      <w:i/>
      <w:iCs/>
      <w:color w:val="000000" w:themeColor="text1"/>
    </w:rPr>
  </w:style>
  <w:style w:type="character" w:customStyle="1" w:styleId="QuoteChar">
    <w:name w:val="Quote Char"/>
    <w:basedOn w:val="DefaultParagraphFont"/>
    <w:link w:val="Quote"/>
    <w:uiPriority w:val="29"/>
    <w:rsid w:val="009D3E49"/>
    <w:rPr>
      <w:i/>
      <w:iCs/>
      <w:color w:val="000000" w:themeColor="text1"/>
    </w:rPr>
  </w:style>
  <w:style w:type="paragraph" w:styleId="IntenseQuote">
    <w:name w:val="Intense Quote"/>
    <w:basedOn w:val="Normal"/>
    <w:next w:val="Normal"/>
    <w:link w:val="IntenseQuoteChar"/>
    <w:uiPriority w:val="30"/>
    <w:qFormat/>
    <w:rsid w:val="009D3E49"/>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D3E49"/>
    <w:rPr>
      <w:color w:val="000000" w:themeColor="text1"/>
      <w:shd w:val="clear" w:color="auto" w:fill="F2F2F2" w:themeFill="background1" w:themeFillShade="F2"/>
    </w:rPr>
  </w:style>
  <w:style w:type="character" w:styleId="SubtleEmphasis">
    <w:name w:val="Subtle Emphasis"/>
    <w:basedOn w:val="DefaultParagraphFont"/>
    <w:uiPriority w:val="19"/>
    <w:qFormat/>
    <w:rsid w:val="009D3E49"/>
    <w:rPr>
      <w:i/>
      <w:iCs/>
      <w:color w:val="404040" w:themeColor="text1" w:themeTint="BF"/>
    </w:rPr>
  </w:style>
  <w:style w:type="character" w:styleId="IntenseEmphasis">
    <w:name w:val="Intense Emphasis"/>
    <w:basedOn w:val="DefaultParagraphFont"/>
    <w:uiPriority w:val="21"/>
    <w:qFormat/>
    <w:rsid w:val="009D3E49"/>
    <w:rPr>
      <w:b/>
      <w:bCs/>
      <w:i/>
      <w:iCs/>
      <w:caps/>
    </w:rPr>
  </w:style>
  <w:style w:type="character" w:styleId="SubtleReference">
    <w:name w:val="Subtle Reference"/>
    <w:basedOn w:val="DefaultParagraphFont"/>
    <w:uiPriority w:val="31"/>
    <w:qFormat/>
    <w:rsid w:val="009D3E4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D3E49"/>
    <w:rPr>
      <w:b/>
      <w:bCs/>
      <w:smallCaps/>
      <w:u w:val="single"/>
    </w:rPr>
  </w:style>
  <w:style w:type="character" w:styleId="BookTitle">
    <w:name w:val="Book Title"/>
    <w:basedOn w:val="DefaultParagraphFont"/>
    <w:uiPriority w:val="33"/>
    <w:qFormat/>
    <w:rsid w:val="009D3E49"/>
    <w:rPr>
      <w:b w:val="0"/>
      <w:bCs w:val="0"/>
      <w:smallCaps/>
      <w:spacing w:val="5"/>
    </w:rPr>
  </w:style>
  <w:style w:type="paragraph" w:styleId="TOCHeading">
    <w:name w:val="TOC Heading"/>
    <w:basedOn w:val="Heading1"/>
    <w:next w:val="Normal"/>
    <w:uiPriority w:val="39"/>
    <w:semiHidden/>
    <w:unhideWhenUsed/>
    <w:qFormat/>
    <w:rsid w:val="009D3E4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5654408">
      <w:bodyDiv w:val="1"/>
      <w:marLeft w:val="0"/>
      <w:marRight w:val="0"/>
      <w:marTop w:val="0"/>
      <w:marBottom w:val="0"/>
      <w:divBdr>
        <w:top w:val="none" w:sz="0" w:space="0" w:color="auto"/>
        <w:left w:val="none" w:sz="0" w:space="0" w:color="auto"/>
        <w:bottom w:val="none" w:sz="0" w:space="0" w:color="auto"/>
        <w:right w:val="none" w:sz="0" w:space="0" w:color="auto"/>
      </w:divBdr>
    </w:div>
    <w:div w:id="1915241161">
      <w:bodyDiv w:val="1"/>
      <w:marLeft w:val="0"/>
      <w:marRight w:val="0"/>
      <w:marTop w:val="0"/>
      <w:marBottom w:val="0"/>
      <w:divBdr>
        <w:top w:val="none" w:sz="0" w:space="0" w:color="auto"/>
        <w:left w:val="none" w:sz="0" w:space="0" w:color="auto"/>
        <w:bottom w:val="none" w:sz="0" w:space="0" w:color="auto"/>
        <w:right w:val="none" w:sz="0" w:space="0" w:color="auto"/>
      </w:divBdr>
      <w:divsChild>
        <w:div w:id="719213163">
          <w:marLeft w:val="0"/>
          <w:marRight w:val="0"/>
          <w:marTop w:val="0"/>
          <w:marBottom w:val="0"/>
          <w:divBdr>
            <w:top w:val="none" w:sz="0" w:space="0" w:color="auto"/>
            <w:left w:val="none" w:sz="0" w:space="0" w:color="auto"/>
            <w:bottom w:val="none" w:sz="0" w:space="0" w:color="auto"/>
            <w:right w:val="none" w:sz="0" w:space="0" w:color="auto"/>
          </w:divBdr>
        </w:div>
        <w:div w:id="1743526212">
          <w:marLeft w:val="0"/>
          <w:marRight w:val="0"/>
          <w:marTop w:val="0"/>
          <w:marBottom w:val="0"/>
          <w:divBdr>
            <w:top w:val="none" w:sz="0" w:space="0" w:color="auto"/>
            <w:left w:val="none" w:sz="0" w:space="0" w:color="auto"/>
            <w:bottom w:val="none" w:sz="0" w:space="0" w:color="auto"/>
            <w:right w:val="none" w:sz="0" w:space="0" w:color="auto"/>
          </w:divBdr>
        </w:div>
        <w:div w:id="1356469165">
          <w:marLeft w:val="0"/>
          <w:marRight w:val="0"/>
          <w:marTop w:val="0"/>
          <w:marBottom w:val="0"/>
          <w:divBdr>
            <w:top w:val="none" w:sz="0" w:space="0" w:color="auto"/>
            <w:left w:val="none" w:sz="0" w:space="0" w:color="auto"/>
            <w:bottom w:val="none" w:sz="0" w:space="0" w:color="auto"/>
            <w:right w:val="none" w:sz="0" w:space="0" w:color="auto"/>
          </w:divBdr>
        </w:div>
        <w:div w:id="1458989251">
          <w:marLeft w:val="0"/>
          <w:marRight w:val="0"/>
          <w:marTop w:val="0"/>
          <w:marBottom w:val="0"/>
          <w:divBdr>
            <w:top w:val="none" w:sz="0" w:space="0" w:color="auto"/>
            <w:left w:val="none" w:sz="0" w:space="0" w:color="auto"/>
            <w:bottom w:val="none" w:sz="0" w:space="0" w:color="auto"/>
            <w:right w:val="none" w:sz="0" w:space="0" w:color="auto"/>
          </w:divBdr>
        </w:div>
        <w:div w:id="466120886">
          <w:marLeft w:val="0"/>
          <w:marRight w:val="0"/>
          <w:marTop w:val="0"/>
          <w:marBottom w:val="0"/>
          <w:divBdr>
            <w:top w:val="none" w:sz="0" w:space="0" w:color="auto"/>
            <w:left w:val="none" w:sz="0" w:space="0" w:color="auto"/>
            <w:bottom w:val="none" w:sz="0" w:space="0" w:color="auto"/>
            <w:right w:val="none" w:sz="0" w:space="0" w:color="auto"/>
          </w:divBdr>
        </w:div>
        <w:div w:id="809709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7</Pages>
  <Words>3242</Words>
  <Characters>18485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IBZ</Company>
  <LinksUpToDate>false</LinksUpToDate>
  <CharactersWithSpaces>21684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Den Broeck Tobias</dc:creator>
  <cp:keywords/>
  <dc:description/>
  <cp:lastModifiedBy>Van Den Broeck Tobias</cp:lastModifiedBy>
  <cp:revision>4</cp:revision>
  <dcterms:created xsi:type="dcterms:W3CDTF">2022-10-20T11:00:00Z</dcterms:created>
  <dcterms:modified xsi:type="dcterms:W3CDTF">2023-10-24T15:04:00Z</dcterms:modified>
</cp:coreProperties>
</file>